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CYBR 525</w:t>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Homework 1 - Quantitative Risk Assessment</w:t>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1: Megan Geer, Jordan Holloway, Maxine Jones, Drew Hoyer, Olivia Saylor</w:t>
      </w:r>
    </w:p>
    <w:p w:rsidR="00000000" w:rsidDel="00000000" w:rsidP="00000000" w:rsidRDefault="00000000" w:rsidRPr="00000000" w14:paraId="0000001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br w:type="textWrapping"/>
        <w:tab/>
      </w:r>
      <w:r w:rsidDel="00000000" w:rsidR="00000000" w:rsidRPr="00000000">
        <w:rPr>
          <w:rFonts w:ascii="Times New Roman" w:cs="Times New Roman" w:eastAsia="Times New Roman" w:hAnsi="Times New Roman"/>
          <w:sz w:val="24"/>
          <w:szCs w:val="24"/>
          <w:rtl w:val="0"/>
        </w:rPr>
        <w:t xml:space="preserve">In today's digitally connected business environment, many organizations rely on technology in order to serve customers, operate in an efficient manner, as well as to maintain a competitive advantage. For SecurityGroup101, a growing cybersecurity firm that strives to deliver technology solutions as well as data-driven services to both small and mid-sized enterprises across several industries, protecting information systems is not just a technical task, it's a business priority. As SecurityGroup101 continues to expand its client base and operations, the potential risks associated with data loss, service interruptions, and cyber attacks continue to grow as well. These risks can cause irreparable damage in ways such as financial damage, operational delays, as well as reputational harm if they are not properly managed. Therefore, gaining an understanding of where vulnerabilities exist, as well as how they can financially impact the organization is highly important in order to maintain long-term stability, customer trust, as well as a competitive advantage.</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Risk Assessment (QRA) is used to provide a practical and data-driven approach to identify, measure, and prioritize potential threats to the organization. Rather than using general descriptions or subjective ratings, such as high or low, a QRA uses measurable values in order to estimate, not only how often the event is likely to occur, but also how much the company could potentially lose if the event is to occur. This method helps to build the bridge between technical speculation and business insight, by expressing the risks in clear financial terms. It also helps for the company leadership to make informed decisions about resource allocation, which helps to ensure that the investments in cybersecurity are proportional to the financial exposure and risk tolerance of the organization.</w:t>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National Institute of Standards and Technology (2012), a risk assessment that is well executed serves as the foundation for an organization's overall risk management strategy. A risk assessment helps to provide structured guidance in order to evaluate both the likelihood and the potential impact of the various risks that could potentially impact the operations of the business or compromise sensitive data. By using the QRA to quantify these factors into more measurable terms, SecurityGroup101 is able to gain a clearer picture of which risks pose the greatest potential loss and where to focus mitigation efforts. The Center for Internet Security (2021) emphasizes that this specific analysis allows for organizations to treat cybersecurity as a financial decision, which helps to allow executives to determine whether the cost of a certain security control is justified by the amount of risk it reduces.</w:t>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used in practice, a QRA uses key metrics that estimates the financial impact of the risks that the company faces. A Single Loss Expectancy (SLE) is used to measure the cost of a single occurrence of a threat, while the Annual Rate of Occurrence (ARO) is used to estimate how frequency the event might happen in a year, and the Annualized Loss Expectancy is used to calculate the annual loss from that threat. As explained by SecurityScorecard (2023), the calculations from the SLE, ARO, and ALE are used to give companies the ability to evaluate multiple risks in a consistent financial scale, which makes it easier for leadership to prioritize the threats that can cause the most harm to the business. SecurityGroup101 uses these calculations and processes in order to provide a clear, and evidence based understanding of its overall risk exposure.</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conducting a thorough quantitative risk assessment allows SecurityGroup101 to align its cybersecurity strategy with overall business goals, ensuring that protective measures are properly implemented to minimize potential losses and strengthen the company's resilience. </w:t>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a Quantitative Risk Assessment is essential for SecurityGroup101 because it helps to provide a more descriptive and measurable understanding of the potential operational and financial impacts of cybersecurity threats. As a firm that manages sensitive data and provides technical services to both small and midsized enterprises, SecurityGroup101 often faces exposure to a wide range of cybersecurity attacks, data breaches, and disruption to our business operations. Not only do these threats have financial consequences, ranging from system recovery costs to regulatory fines, there are also indirect costs that include the loss of a client's trust, reputational harm, and loss of potential business opportunities. A QRA ensures that the company is able to translate the risks into more concrete financial terms, allowing leadership to make more informed decisions and allocate resources more effectively.</w:t>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benefits of performing a QRA is the support of data forecasting and data-driven decision making. Rather than having to react to threats after they occur, SecurityGroup101 is able to use internal assessment data in order to evaluate where losses are more likely to occur, as well as how frequently they might happen. For example, when we compare the frequency of employee workstation incidents to less common, but higher impact events such as database corruption, leadership can identify where more resources can be allocated, and which threats require more immediate attention. This analysis helps highlight the importance of short-term investments to prevent long-term losses, ensuring that SecurityGroup101's risk management strategies are both proactive and financially responsible. By using predictive analytics, SecurityGroup101 can anticipate future risks, as well as refine its security posture before major security incidents can occur and maintain the company's stability, even as the cybersecurity threats evolve.</w:t>
      </w:r>
    </w:p>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strengthening data foresight, conducting a Quantitative Risk Assessment also provides financial foresight, which allows SecurityGroup101 to align its spending that's allocated to cybersecurity, with the businesses priorities. By using the QRA to translate the technical risks into measurable financial terms, business leaders can see how investing in specific security measures can determine where funding will not only deliver a return on investment, but also reduce the company's overall exposure to risk. Using this approach can help ensure that financial resources are properly allocated to the most critical areas, allowing SecurityGroup101 to balance the costs of preventive measures against the potential cost of a security incident. It also helps to provide more transparency as well as justification for different cybersecurity expenditures, making it easier for both executives and stakeholders to understand the value of these investments. Furthermore, SecurityGroup101 is able to align the cybersecurity investments with standards such as NIST SP 800-30, as well as the Center for Internet Security (CIS) Controls, which helps to ensure that the decisions on what to invest more or less money in are not only financially sound, but also is compliant with well established best practices. Using these cybersecurity standards not only ensures that SecurityGroup101 follows recognized guidelines for risk management, but also demonstrates to clients, auditors, and regulators that the company handles cybersecurity incidents with accountability and strategic intent. This approach reinforces SecurityGroup101's reputation as a trusted, forward-thinking organization that prioritizes both long-term client protection and the fiscal responsibility needed to maintain lasting business success.</w:t>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Asset Identification</w:t>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assets play a key part in facilitating our business operations. Each of the assets allow our organization to not only sustain current operations but also enable future development and growth. This section outlines the role each asset plays and will provide insight for a later ranking of each asset's criticality to the organization.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tbl>
      <w:tblPr>
        <w:tblStyle w:val="Table1"/>
        <w:tblW w:w="9840.0" w:type="dxa"/>
        <w:jc w:val="left"/>
        <w:tblBorders>
          <w:top w:color="a3a3a3" w:space="0" w:sz="8" w:val="single"/>
          <w:left w:color="a3a3a3" w:space="0" w:sz="8" w:val="single"/>
          <w:bottom w:color="a3a3a3" w:space="0" w:sz="8" w:val="single"/>
          <w:right w:color="a3a3a3" w:space="0" w:sz="8" w:val="single"/>
          <w:insideH w:color="a3a3a3" w:space="0" w:sz="8" w:val="single"/>
          <w:insideV w:color="a3a3a3" w:space="0" w:sz="8" w:val="single"/>
        </w:tblBorders>
        <w:tblLayout w:type="fixed"/>
        <w:tblLook w:val="0600"/>
      </w:tblPr>
      <w:tblGrid>
        <w:gridCol w:w="2520"/>
        <w:gridCol w:w="5790"/>
        <w:gridCol w:w="1530"/>
        <w:tblGridChange w:id="0">
          <w:tblGrid>
            <w:gridCol w:w="2520"/>
            <w:gridCol w:w="5790"/>
            <w:gridCol w:w="1530"/>
          </w:tblGrid>
        </w:tblGridChange>
      </w:tblGrid>
      <w:tr>
        <w:trPr>
          <w:cantSplit w:val="0"/>
          <w:trHeight w:val="144"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39">
            <w:pPr>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Asset </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3A">
            <w:pPr>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3B">
            <w:pPr>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Asset Value</w:t>
            </w:r>
          </w:p>
        </w:tc>
      </w:tr>
      <w:tr>
        <w:trPr>
          <w:cantSplit w:val="0"/>
          <w:trHeight w:val="144"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3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Data</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3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financial, and transactional data provided and entrusted to our organization by customers.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3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$1,000,000.00</w:t>
            </w:r>
          </w:p>
        </w:tc>
      </w:tr>
      <w:tr>
        <w:trPr>
          <w:cantSplit w:val="0"/>
          <w:trHeight w:val="144"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3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Workstation</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 that facilitate employee connection to internal business systems and applications.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$200,000.00</w:t>
            </w:r>
          </w:p>
        </w:tc>
      </w:tr>
      <w:tr>
        <w:trPr>
          <w:cantSplit w:val="0"/>
          <w:trHeight w:val="144"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Records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the organization's accounting information, income statements, and revenue data. Financial statements required for audits and decision-making.</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$1,500,000.00</w:t>
            </w:r>
          </w:p>
        </w:tc>
      </w:tr>
      <w:tr>
        <w:trPr>
          <w:cantSplit w:val="0"/>
          <w:trHeight w:val="144"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Systems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updated copies of data in the event of loss or compromise.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$600,000.00</w:t>
            </w:r>
          </w:p>
        </w:tc>
      </w:tr>
      <w:tr>
        <w:trPr>
          <w:cantSplit w:val="0"/>
          <w:trHeight w:val="144"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Software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applications unique to our organization's operations.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$750,000.00</w:t>
            </w:r>
          </w:p>
        </w:tc>
      </w:tr>
      <w:tr>
        <w:trPr>
          <w:cantSplit w:val="0"/>
          <w:trHeight w:val="144"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system maintained on remote servers that allows employee access to data from any location.</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$500,000.00</w:t>
            </w:r>
          </w:p>
        </w:tc>
      </w:tr>
      <w:tr>
        <w:trPr>
          <w:cantSplit w:val="0"/>
          <w:trHeight w:val="144"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4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and workspaces used to develop, test, and troubleshoot tools without affecting active systems.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w:t>
            </w:r>
          </w:p>
        </w:tc>
      </w:tr>
      <w:tr>
        <w:trPr>
          <w:cantSplit w:val="0"/>
          <w:trHeight w:val="144"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that manages access to databases required for operations.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w:t>
            </w:r>
          </w:p>
        </w:tc>
      </w:tr>
      <w:tr>
        <w:trPr>
          <w:cantSplit w:val="0"/>
          <w:trHeight w:val="69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Server</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that manages the organization's email capabilities including sending, receiving, and storing emails.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w:t>
            </w:r>
          </w:p>
        </w:tc>
      </w:tr>
      <w:tr>
        <w:trPr>
          <w:cantSplit w:val="0"/>
          <w:trHeight w:val="915"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Customer-facing platform that enables business transactions, marketing, and interactions with customers.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$75,000.00</w:t>
            </w:r>
          </w:p>
        </w:tc>
      </w:tr>
    </w:tbl>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 Assessment </w:t>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threats and vulnerabilities that may affect each asset. If an adversary is successful in their attack, there is a significant financial loss each asset could experience.</w:t>
      </w:r>
    </w:p>
    <w:p w:rsidR="00000000" w:rsidDel="00000000" w:rsidP="00000000" w:rsidRDefault="00000000" w:rsidRPr="00000000" w14:paraId="0000005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Data could suffer a data breach or data corruption. This could occur from inadequate encryption methods that allow for an attacker to compromise the data. Additionally, lack of data backups could make recovery difficult or impossible. The potential financial loss, single loss expectancy (SLE) associated with this asset is estimated at $1,000,000.</w:t>
      </w:r>
    </w:p>
    <w:p w:rsidR="00000000" w:rsidDel="00000000" w:rsidP="00000000" w:rsidRDefault="00000000" w:rsidRPr="00000000" w14:paraId="0000005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Workstations could download malware or ransomware. Weak antivirus protection and insufficient system monitoring could allow malicious software to compromise the network. The potential financial loss, single loss expectancy (SLE) associated with this asset is estimated at $200,000.</w:t>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Records can have data breaches and financial fraud as a threat. These threats could stem from weak encryption practices or poor auditing procedures that fail to detect unauthorized access or compromise. The potential financial loss, single loss expectancy (SLE) associated with this asset is estimated at $1,500,000.</w:t>
      </w:r>
    </w:p>
    <w:p w:rsidR="00000000" w:rsidDel="00000000" w:rsidP="00000000" w:rsidRDefault="00000000" w:rsidRPr="00000000" w14:paraId="0000006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Systems face risks such as backup corruption or hardware failure. Without off-site storage or redundancy, critical recovery data could be permanently lost in the event of a disaster. The potential financial loss, single loss expectancy (SLE) associated with this asset is estimated at $600,000.</w:t>
      </w:r>
    </w:p>
    <w:p w:rsidR="00000000" w:rsidDel="00000000" w:rsidP="00000000" w:rsidRDefault="00000000" w:rsidRPr="00000000" w14:paraId="0000006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Software can be stolen or exploited by an attacker. It is crucial to perform upgrades as unpatched systems or insufficient code security could expose the software to unauthorized access and attacks. The potential financial loss, single loss expectancy (SLE) associated with this asset is estimated at $750,000.</w:t>
      </w:r>
    </w:p>
    <w:p w:rsidR="00000000" w:rsidDel="00000000" w:rsidP="00000000" w:rsidRDefault="00000000" w:rsidRPr="00000000" w14:paraId="0000006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 could be compromised by a cloud service failure or data breach. Weak encryption and poor access controls may allow unauthorized users to view, delete, or manipulate data. The potential financial loss, single loss expectancy (SLE) associated with this asset is estimated at $500,000.</w:t>
      </w:r>
    </w:p>
    <w:p w:rsidR="00000000" w:rsidDel="00000000" w:rsidP="00000000" w:rsidRDefault="00000000" w:rsidRPr="00000000" w14:paraId="0000006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Environments could have code theft or insider threats which compromise the integrity of the data. Inadequate code review processes and lack of internal oversight increase the likelihood of malicious activity. The potential financial loss, single loss expectancy (SLE) associated with this asset is estimated at $100,000.</w:t>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Servers are vulnerable to data breaches and hardware failures. Weak access controls or outdated software may expose sensitive data to exploitation. The potential financial loss, single loss expectancy (SLE) associated with this asset is estimated at $50,000.</w:t>
      </w:r>
    </w:p>
    <w:p w:rsidR="00000000" w:rsidDel="00000000" w:rsidP="00000000" w:rsidRDefault="00000000" w:rsidRPr="00000000" w14:paraId="0000006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Servers may suffer from phishing or malware attacks. Open ports could allow attackers to exploit the system. Additionally, lack of security measures, such as Multi-Factor Authentication (MFA) could make it easier for the attacker to get in. The potential financial loss, single loss expectancy (SLE) associated with this asset is estimated at $30,000.</w:t>
      </w:r>
    </w:p>
    <w:p w:rsidR="00000000" w:rsidDel="00000000" w:rsidP="00000000" w:rsidRDefault="00000000" w:rsidRPr="00000000" w14:paraId="0000006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Websites can be defaced or suffer Distributed Denial of Service (DDoS) attacks. This prevents the service running, leading to customer dissatisfaction and degradation of brand reputation. Outdated content management systems (CMS) and a lack of proactive security monitoring make it more susceptible to compromise. The potential financial loss, single loss expectancy (SLE) associated with this asset is estimated at $75,000.</w:t>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pStyle w:val="Heading1"/>
        <w:keepNext w:val="0"/>
        <w:keepLines w:val="0"/>
        <w:widowControl w:val="0"/>
        <w:spacing w:after="0" w:before="92" w:line="240" w:lineRule="auto"/>
        <w:ind w:left="0" w:firstLine="0"/>
        <w:rPr>
          <w:rFonts w:ascii="Times New Roman" w:cs="Times New Roman" w:eastAsia="Times New Roman" w:hAnsi="Times New Roman"/>
          <w:b w:val="1"/>
          <w:sz w:val="24"/>
          <w:szCs w:val="24"/>
        </w:rPr>
      </w:pPr>
      <w:bookmarkStart w:colFirst="0" w:colLast="0" w:name="_u79jbf569p9j" w:id="0"/>
      <w:bookmarkEnd w:id="0"/>
      <w:r w:rsidDel="00000000" w:rsidR="00000000" w:rsidRPr="00000000">
        <w:rPr>
          <w:rFonts w:ascii="Times New Roman" w:cs="Times New Roman" w:eastAsia="Times New Roman" w:hAnsi="Times New Roman"/>
          <w:b w:val="1"/>
          <w:sz w:val="24"/>
          <w:szCs w:val="24"/>
          <w:rtl w:val="0"/>
        </w:rPr>
        <w:t xml:space="preserve">Annual Rate of Occurrence (ARO)</w:t>
      </w:r>
    </w:p>
    <w:p w:rsidR="00000000" w:rsidDel="00000000" w:rsidP="00000000" w:rsidRDefault="00000000" w:rsidRPr="00000000" w14:paraId="00000069">
      <w:pPr>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annual rate of occurrence (ARO) is a metric used in risk assessments to estimate how often a loss event is expected to happen for an asset within a one year period. The below table outlines the ARO for each of our organizations assets based on the historical loss rate data we possess for each asset. The calculation used to obtain the ARO is:</w:t>
      </w:r>
      <w:r w:rsidDel="00000000" w:rsidR="00000000" w:rsidRPr="00000000">
        <w:rPr>
          <w:rFonts w:ascii="Times New Roman" w:cs="Times New Roman" w:eastAsia="Times New Roman" w:hAnsi="Times New Roman"/>
          <w:b w:val="1"/>
          <w:sz w:val="24"/>
          <w:szCs w:val="24"/>
          <w:rtl w:val="0"/>
        </w:rPr>
        <w:t xml:space="preserve"> Number of Times an Incident Occurred ÷ Total Number of Years Over Which the Incident Occurred.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Borders>
          <w:top w:color="a3a3a3" w:space="0" w:sz="8" w:val="single"/>
          <w:left w:color="a3a3a3" w:space="0" w:sz="8" w:val="single"/>
          <w:bottom w:color="a3a3a3" w:space="0" w:sz="8" w:val="single"/>
          <w:right w:color="a3a3a3" w:space="0" w:sz="8" w:val="single"/>
          <w:insideH w:color="a3a3a3" w:space="0" w:sz="8" w:val="single"/>
          <w:insideV w:color="a3a3a3" w:space="0" w:sz="8" w:val="single"/>
        </w:tblBorders>
        <w:tblLayout w:type="fixed"/>
        <w:tblLook w:val="0600"/>
      </w:tblPr>
      <w:tblGrid>
        <w:gridCol w:w="2775"/>
        <w:gridCol w:w="2670"/>
        <w:gridCol w:w="2265"/>
        <w:gridCol w:w="1665"/>
        <w:tblGridChange w:id="0">
          <w:tblGrid>
            <w:gridCol w:w="2775"/>
            <w:gridCol w:w="2670"/>
            <w:gridCol w:w="2265"/>
            <w:gridCol w:w="1665"/>
          </w:tblGrid>
        </w:tblGridChange>
      </w:tblGrid>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Asset Name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Historical Loss Rate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ARO Calculation</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ARO (Events/Year)</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Data</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every 24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 years </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Workstations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every 12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1 year</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Records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every 120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10 years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Systems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every 96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8 years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Software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every 80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6.66666667 years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every 240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20 years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every 120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10 years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every 36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3 years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Server</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every 48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4 years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every 60 months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5 years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bl>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1"/>
        <w:keepNext w:val="0"/>
        <w:keepLines w:val="0"/>
        <w:widowControl w:val="0"/>
        <w:spacing w:after="0" w:before="92" w:line="240" w:lineRule="auto"/>
        <w:ind w:left="0" w:firstLine="0"/>
        <w:rPr>
          <w:rFonts w:ascii="Times New Roman" w:cs="Times New Roman" w:eastAsia="Times New Roman" w:hAnsi="Times New Roman"/>
          <w:b w:val="1"/>
          <w:sz w:val="24"/>
          <w:szCs w:val="24"/>
        </w:rPr>
      </w:pPr>
      <w:bookmarkStart w:colFirst="0" w:colLast="0" w:name="_c0k200t6juw6" w:id="1"/>
      <w:bookmarkEnd w:id="1"/>
      <w:r w:rsidDel="00000000" w:rsidR="00000000" w:rsidRPr="00000000">
        <w:rPr>
          <w:rFonts w:ascii="Times New Roman" w:cs="Times New Roman" w:eastAsia="Times New Roman" w:hAnsi="Times New Roman"/>
          <w:b w:val="1"/>
          <w:sz w:val="24"/>
          <w:szCs w:val="24"/>
          <w:rtl w:val="0"/>
        </w:rPr>
        <w:t xml:space="preserve">Annual Loss Expectancy (ALE)</w:t>
      </w:r>
    </w:p>
    <w:p w:rsidR="00000000" w:rsidDel="00000000" w:rsidP="00000000" w:rsidRDefault="00000000" w:rsidRPr="00000000" w14:paraId="0000009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Loss Expectancy (ALE) is used to represent the expected monetary loss for each asset due to different threats that can occur over the course of one year. This is used to provide a more measurable estimate of the risk of financial loss that can be associated with each asset, and also allows for leadership to prioritize which systems will require the most resources and attention.</w:t>
      </w:r>
    </w:p>
    <w:p w:rsidR="00000000" w:rsidDel="00000000" w:rsidP="00000000" w:rsidRDefault="00000000" w:rsidRPr="00000000" w14:paraId="0000009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 is calculated using the formula: </w:t>
      </w:r>
      <w:r w:rsidDel="00000000" w:rsidR="00000000" w:rsidRPr="00000000">
        <w:rPr>
          <w:rFonts w:ascii="Times New Roman" w:cs="Times New Roman" w:eastAsia="Times New Roman" w:hAnsi="Times New Roman"/>
          <w:b w:val="1"/>
          <w:sz w:val="24"/>
          <w:szCs w:val="24"/>
          <w:rtl w:val="0"/>
        </w:rPr>
        <w:t xml:space="preserve">ALE = SLE x ARO</w:t>
      </w:r>
      <w:r w:rsidDel="00000000" w:rsidR="00000000" w:rsidRPr="00000000">
        <w:rPr>
          <w:rFonts w:ascii="Times New Roman" w:cs="Times New Roman" w:eastAsia="Times New Roman" w:hAnsi="Times New Roman"/>
          <w:sz w:val="24"/>
          <w:szCs w:val="24"/>
          <w:rtl w:val="0"/>
        </w:rPr>
        <w:t xml:space="preserve">. This formula multiplies the cost that is associated with a single incident (Single Loss Expectancy) by how likely the incident is to occur within a year (Annual Rate of Occurrence). The results from this calculation allows for SecurityGroup101 to understand what the potential annual loss can be if no additional mitigation measures, or safeguards are implemented. This serves as a foundation for determining which risks are considered more critical, and where mitigation strategies should be prioritized.</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Single Loss Expectancy (SLE)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Annual Rate of Occurrence (ARO)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Annual Loss Expectancy (ALE)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Workstations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$16,665.00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w:t>
            </w:r>
          </w:p>
        </w:tc>
      </w:tr>
    </w:tbl>
    <w:p w:rsidR="00000000" w:rsidDel="00000000" w:rsidP="00000000" w:rsidRDefault="00000000" w:rsidRPr="00000000" w14:paraId="000000C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pStyle w:val="Heading1"/>
        <w:keepNext w:val="0"/>
        <w:keepLines w:val="0"/>
        <w:widowControl w:val="0"/>
        <w:spacing w:after="0" w:before="92" w:line="240" w:lineRule="auto"/>
        <w:ind w:left="0" w:firstLine="0"/>
        <w:rPr>
          <w:rFonts w:ascii="Times New Roman" w:cs="Times New Roman" w:eastAsia="Times New Roman" w:hAnsi="Times New Roman"/>
          <w:b w:val="1"/>
          <w:sz w:val="24"/>
          <w:szCs w:val="24"/>
        </w:rPr>
      </w:pPr>
      <w:bookmarkStart w:colFirst="0" w:colLast="0" w:name="_etbps1pz7om3" w:id="2"/>
      <w:bookmarkEnd w:id="2"/>
      <w:r w:rsidDel="00000000" w:rsidR="00000000" w:rsidRPr="00000000">
        <w:rPr>
          <w:rFonts w:ascii="Times New Roman" w:cs="Times New Roman" w:eastAsia="Times New Roman" w:hAnsi="Times New Roman"/>
          <w:b w:val="1"/>
          <w:sz w:val="24"/>
          <w:szCs w:val="24"/>
          <w:rtl w:val="0"/>
        </w:rPr>
        <w:t xml:space="preserve">Risk Analysis and Recommendations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Having calculated the Annual Loss Expectancy (ALE) for SecurityGroup101's critical assets, the below table ranks the organization's critical assets from highest to lowest ALE.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bl>
      <w:tblPr>
        <w:tblStyle w:val="Table4"/>
        <w:tblW w:w="8775.0" w:type="dxa"/>
        <w:jc w:val="left"/>
        <w:tblBorders>
          <w:top w:color="a3a3a3" w:space="0" w:sz="8" w:val="single"/>
          <w:left w:color="a3a3a3" w:space="0" w:sz="8" w:val="single"/>
          <w:bottom w:color="a3a3a3" w:space="0" w:sz="8" w:val="single"/>
          <w:right w:color="a3a3a3" w:space="0" w:sz="8" w:val="single"/>
          <w:insideH w:color="a3a3a3" w:space="0" w:sz="8" w:val="single"/>
          <w:insideV w:color="a3a3a3" w:space="0" w:sz="8" w:val="single"/>
        </w:tblBorders>
        <w:tblLayout w:type="fixed"/>
        <w:tblLook w:val="0600"/>
      </w:tblPr>
      <w:tblGrid>
        <w:gridCol w:w="2775"/>
        <w:gridCol w:w="2670"/>
        <w:gridCol w:w="1665"/>
        <w:gridCol w:w="1665"/>
        <w:tblGridChange w:id="0">
          <w:tblGrid>
            <w:gridCol w:w="2775"/>
            <w:gridCol w:w="2670"/>
            <w:gridCol w:w="1665"/>
            <w:gridCol w:w="1665"/>
          </w:tblGrid>
        </w:tblGridChange>
      </w:tblGrid>
      <w:tr>
        <w:trPr>
          <w:cantSplit w:val="0"/>
          <w:trHeight w:val="769.74609375"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C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Asset Name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C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Asset Value ($)</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C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ARO (Events/Year)</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C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ALE</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Data</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Workstations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Records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Systems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Software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$112,500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$16,665</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Server</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F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r>
      <w:tr>
        <w:trPr>
          <w:cantSplit w:val="0"/>
          <w:trHeight w:val="72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F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r>
    </w:tbl>
    <w:p w:rsidR="00000000" w:rsidDel="00000000" w:rsidP="00000000" w:rsidRDefault="00000000" w:rsidRPr="00000000" w14:paraId="000000F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calculated ALE values, Customer Data and Employee Workstations represent the highest financial risks for the organization with an annual loss expectancy (ALE) of $500,000 and $400,000 respectively. These assets should be prioritized for mitigation through enhanced security controls.</w:t>
      </w:r>
    </w:p>
    <w:p w:rsidR="00000000" w:rsidDel="00000000" w:rsidP="00000000" w:rsidRDefault="00000000" w:rsidRPr="00000000" w14:paraId="000000F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Data poses the most significant risk due to its sensitivity and potential for reputational damage in the event of a data breach. Employee Workstations follow closely behind in risk level due to threats such as malware, social engineering, and endpoint threats that can lead to operational disruptions.</w:t>
      </w:r>
    </w:p>
    <w:p w:rsidR="00000000" w:rsidDel="00000000" w:rsidP="00000000" w:rsidRDefault="00000000" w:rsidRPr="00000000" w14:paraId="000000F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other assets fall in the moderate-risk category including Financial Records with an annual loss expectancy (ALE) of $150,000, Backup Systems with an annual loss expectancy (ALE) of $150,000, and Proprietary Software with an annual loss expectancy (ALE) of $112,500. While these assets do not have as high a financial risk as the top two assets, their loss could pose long-term consequences for SecurityGroup101.</w:t>
      </w:r>
    </w:p>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Building on the risks identified in the previous section, the following analysis outlines how the loss of each asset could affect SecurityGroup101 and provides recommended countermeasures to reduce these risks and strengthen overall cybersecurity resilience.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F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Data</w:t>
        <w:br w:type="textWrapping"/>
        <w:tab/>
      </w:r>
      <w:r w:rsidDel="00000000" w:rsidR="00000000" w:rsidRPr="00000000">
        <w:rPr>
          <w:rFonts w:ascii="Times New Roman" w:cs="Times New Roman" w:eastAsia="Times New Roman" w:hAnsi="Times New Roman"/>
          <w:sz w:val="24"/>
          <w:szCs w:val="24"/>
          <w:rtl w:val="0"/>
        </w:rPr>
        <w:t xml:space="preserve">If customer data were lost or hacked, it could cause major financial loss and damage the company's reputation. It could also lead to legal trouble and make clients lose trust in the company. To prevent this, SecurityGroup101 should use strong encryption to protect data, require multi-factor authentication for all accounts, and use tools that stop data from being shared outside the system. Regular backups and data checks are also important to make sure information stays safe and can be restored if needed.</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Employee Workstations</w:t>
        <w:br w:type="textWrapping"/>
        <w:t xml:space="preserve">  </w:t>
        <w:tab/>
      </w:r>
      <w:r w:rsidDel="00000000" w:rsidR="00000000" w:rsidRPr="00000000">
        <w:rPr>
          <w:rFonts w:ascii="Times New Roman" w:cs="Times New Roman" w:eastAsia="Times New Roman" w:hAnsi="Times New Roman"/>
          <w:sz w:val="24"/>
          <w:szCs w:val="24"/>
          <w:rtl w:val="0"/>
        </w:rPr>
        <w:t xml:space="preserve">Employee computers are often the first targets for hackers because one wrong click can lead to malware or ransomware spreading through the whole network. If that happens, company operations could shut down, or sensitive information could be stolen. The company should have strong antivirus software, make sure updates happen automatically, and limit who has administrative access. Training employees to spot phishing emails or suspicious links can also stop a lot of attacks before they start.</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Financial Records</w:t>
        <w:br w:type="textWrapping"/>
        <w:tab/>
      </w:r>
      <w:r w:rsidDel="00000000" w:rsidR="00000000" w:rsidRPr="00000000">
        <w:rPr>
          <w:rFonts w:ascii="Times New Roman" w:cs="Times New Roman" w:eastAsia="Times New Roman" w:hAnsi="Times New Roman"/>
          <w:sz w:val="24"/>
          <w:szCs w:val="24"/>
          <w:rtl w:val="0"/>
        </w:rPr>
        <w:t xml:space="preserve">Losing or altering financial records can lead to serious problems like fraud, reporting mistakes, or legal issues. Hackers could use that data for identity theft or to mess with the company's finances. To protect this information, SecurityGroup101 should store it in encrypted systems and control who can access it. It's also smart to have regular audits and keep detailed logs to spot any unusual activity right away.</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Backup Systems</w:t>
        <w:br w:type="textWrapping"/>
        <w:tab/>
      </w:r>
      <w:r w:rsidDel="00000000" w:rsidR="00000000" w:rsidRPr="00000000">
        <w:rPr>
          <w:rFonts w:ascii="Times New Roman" w:cs="Times New Roman" w:eastAsia="Times New Roman" w:hAnsi="Times New Roman"/>
          <w:sz w:val="24"/>
          <w:szCs w:val="24"/>
          <w:rtl w:val="0"/>
        </w:rPr>
        <w:t xml:space="preserve">If backups are damaged or fail, the company could lose important data forever after an attack or system crash. That could lead to long delays and major business losses. To avoid this, the company should follow the 3-2-1 backup rule: three copies of the data, on two different types of media, with one copy stored off-site. Testing backups often and encrypting them adds another layer of protection.</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Proprietary Software</w:t>
        <w:br w:type="textWrapping"/>
        <w:tab/>
      </w:r>
      <w:r w:rsidDel="00000000" w:rsidR="00000000" w:rsidRPr="00000000">
        <w:rPr>
          <w:rFonts w:ascii="Times New Roman" w:cs="Times New Roman" w:eastAsia="Times New Roman" w:hAnsi="Times New Roman"/>
          <w:sz w:val="24"/>
          <w:szCs w:val="24"/>
          <w:rtl w:val="0"/>
        </w:rPr>
        <w:t xml:space="preserve">The company's custom software is valuable and helps it stand out from competitors. If hackers steal or tamper with it, that could cause major setbacks or even give others access to private tools and ideas. Developers should use secure coding practices, regularly test for vulnerabilities, and limit access to code repositories. Keeping all software updated helps close security gaps that hackers could exploit.</w:t>
      </w:r>
    </w:p>
    <w:p w:rsidR="00000000" w:rsidDel="00000000" w:rsidP="00000000" w:rsidRDefault="00000000" w:rsidRPr="00000000" w14:paraId="00000101">
      <w:pPr>
        <w:spacing w:after="240" w:befor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Storage</w:t>
        <w:br w:type="textWrapping"/>
        <w:tab/>
      </w:r>
      <w:r w:rsidDel="00000000" w:rsidR="00000000" w:rsidRPr="00000000">
        <w:rPr>
          <w:rFonts w:ascii="Times New Roman" w:cs="Times New Roman" w:eastAsia="Times New Roman" w:hAnsi="Times New Roman"/>
          <w:sz w:val="24"/>
          <w:szCs w:val="24"/>
          <w:rtl w:val="0"/>
        </w:rPr>
        <w:t xml:space="preserve">While cloud storage makes work easier, it can also be risky if it's not properly secured. A simple misconfiguration or breach could expose sensitive information or shut down access to important data. To reduce these risks, SecurityGroup101 should encrypt all data, control who can access the cloud, and regularly review settings for errors. Security tools that monitor cloud activity can also help catch issues early.</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Development Environment</w:t>
        <w:br w:type="textWrapping"/>
        <w:tab/>
      </w:r>
      <w:r w:rsidDel="00000000" w:rsidR="00000000" w:rsidRPr="00000000">
        <w:rPr>
          <w:rFonts w:ascii="Times New Roman" w:cs="Times New Roman" w:eastAsia="Times New Roman" w:hAnsi="Times New Roman"/>
          <w:sz w:val="24"/>
          <w:szCs w:val="24"/>
          <w:rtl w:val="0"/>
        </w:rPr>
        <w:t xml:space="preserve">The development environment is where new tools and updates are tested, so if it's compromised, hackers could steal code or plant malicious files. Insider threats are also possible if access isn't limited. The best protection is keeping the development environment separate from the live system, limiting access to approved staff, and requiring regular code reviews. Logging all developer activity also helps track any suspicious changes.</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Server</w:t>
        <w:br w:type="textWrapping"/>
        <w:tab/>
      </w:r>
      <w:r w:rsidDel="00000000" w:rsidR="00000000" w:rsidRPr="00000000">
        <w:rPr>
          <w:rFonts w:ascii="Times New Roman" w:cs="Times New Roman" w:eastAsia="Times New Roman" w:hAnsi="Times New Roman"/>
          <w:sz w:val="24"/>
          <w:szCs w:val="24"/>
          <w:rtl w:val="0"/>
        </w:rPr>
        <w:t xml:space="preserve">If the company's database server goes down or gets hacked, it could lose important data or expose private information. This would make it hard to run daily operations or serve customers properly. To prevent that, SecurityGroup101 should update software regularly, encrypt stored data, and give access only to people who need it. Backup servers and real-time monitoring can help catch problems before they cause major damage.</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 Server</w:t>
        <w:br w:type="textWrapping"/>
        <w:tab/>
      </w:r>
      <w:r w:rsidDel="00000000" w:rsidR="00000000" w:rsidRPr="00000000">
        <w:rPr>
          <w:rFonts w:ascii="Times New Roman" w:cs="Times New Roman" w:eastAsia="Times New Roman" w:hAnsi="Times New Roman"/>
          <w:sz w:val="24"/>
          <w:szCs w:val="24"/>
          <w:rtl w:val="0"/>
        </w:rPr>
        <w:t xml:space="preserve">Email servers are a common way for hackers to get in through phishing or malware. If one employee clicks the wrong link, it can give attackers access to private messages or even the entire network. The company should use spam filters, multi-factor authentication, and email security tools to block fake messages. Regular employee training also helps everyone recognize and report suspicious emails quickly.</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Website</w:t>
        <w:br w:type="textWrapping"/>
        <w:tab/>
      </w:r>
      <w:r w:rsidDel="00000000" w:rsidR="00000000" w:rsidRPr="00000000">
        <w:rPr>
          <w:rFonts w:ascii="Times New Roman" w:cs="Times New Roman" w:eastAsia="Times New Roman" w:hAnsi="Times New Roman"/>
          <w:sz w:val="24"/>
          <w:szCs w:val="24"/>
          <w:rtl w:val="0"/>
        </w:rPr>
        <w:t xml:space="preserve">If the company's website is attacked, it can go offline or be defaced, which hurts its image and makes customers lose confidence. A DDoS attack could also make the site slow or unreachable. To prevent this, SecurityGroup101 should keep its website software up to date, use a web application firewall, and have DDoS protection in place. Regular monitoring will help detect strange activity before it becomes a real problem.</w:t>
      </w:r>
    </w:p>
    <w:p w:rsidR="00000000" w:rsidDel="00000000" w:rsidP="00000000" w:rsidRDefault="00000000" w:rsidRPr="00000000" w14:paraId="000001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Quantitative Risk Assessment identified, assessed and evaluated risk associated with potential losses to our identified assets. The assessment revealed that Customer Data (ALE of $500,000) and Employee Workstations (ALE of $400,000) represent the greatest financial risks when considering loss. Implementing controls such as enhanced security and adequate data backup systems can mitigate risk and the amount of ALE expected for Customer Data. Controls such as updated antivirus software and employee training can mitigate risk and the amount of ALE for Employee Workstations. Financial Records (ALE of $150,000), Backup Systems (ALE of $150,000) and Proprietary Software (ALE of $112,500) pose a moderate risk to the organization regarding financial loss. While all assets should be continually assessed to determine the risk and impact that loss could have on the organization, prioritizing investment to prevent loss to Customer Data and Employee Workstations will likely have the most impact from a quantitative standpoint pertaining to financial impact. Once controls are identified, they should be evaluated prior to and subsequent to implementation to determine their effectiveness and ability to withstand continuously emerging threats.</w:t>
      </w:r>
    </w:p>
    <w:p w:rsidR="00000000" w:rsidDel="00000000" w:rsidP="00000000" w:rsidRDefault="00000000" w:rsidRPr="00000000" w14:paraId="000001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(APA)</w:t>
      </w:r>
    </w:p>
    <w:p w:rsidR="00000000" w:rsidDel="00000000" w:rsidP="00000000" w:rsidRDefault="00000000" w:rsidRPr="00000000" w14:paraId="0000012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A">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for Internet Security. (2021, June 10). Quantitative risk analysis: Its importance and implications. </w:t>
      </w:r>
      <w:hyperlink r:id="rId6">
        <w:r w:rsidDel="00000000" w:rsidR="00000000" w:rsidRPr="00000000">
          <w:rPr>
            <w:rFonts w:ascii="Times New Roman" w:cs="Times New Roman" w:eastAsia="Times New Roman" w:hAnsi="Times New Roman"/>
            <w:color w:val="1155cc"/>
            <w:sz w:val="24"/>
            <w:szCs w:val="24"/>
            <w:u w:val="single"/>
            <w:rtl w:val="0"/>
          </w:rPr>
          <w:t xml:space="preserve">https://www.cisecurity.org/insights/blog/quantitative-risk-analysis-its-importance-and-implications</w:t>
        </w:r>
      </w:hyperlink>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Darril Gibson, &amp; Igonor, A. (2020). Managing Risk In Information Systems. Jones &amp; Bartlett Learning.</w:t>
      </w:r>
    </w:p>
    <w:p w:rsidR="00000000" w:rsidDel="00000000" w:rsidP="00000000" w:rsidRDefault="00000000" w:rsidRPr="00000000" w14:paraId="000001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(2012). Guide for conducting risk assessments (SP 800-30 Rev. 1). U.S. Department of Commerce. </w:t>
      </w:r>
      <w:hyperlink r:id="rId7">
        <w:r w:rsidDel="00000000" w:rsidR="00000000" w:rsidRPr="00000000">
          <w:rPr>
            <w:rFonts w:ascii="Times New Roman" w:cs="Times New Roman" w:eastAsia="Times New Roman" w:hAnsi="Times New Roman"/>
            <w:color w:val="1155cc"/>
            <w:sz w:val="24"/>
            <w:szCs w:val="24"/>
            <w:u w:val="single"/>
            <w:rtl w:val="0"/>
          </w:rPr>
          <w:t xml:space="preserve">https://nvlpubs.nist.gov/nistpubs/Legacy/SP/nistspecialpublication800-30r1.pdf</w:t>
        </w:r>
      </w:hyperlink>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SecurityScorecard. (2023, April 18). Qualitative vs. quantitative cybersecurity risk assessment. </w:t>
      </w:r>
    </w:p>
    <w:p w:rsidR="00000000" w:rsidDel="00000000" w:rsidP="00000000" w:rsidRDefault="00000000" w:rsidRPr="00000000" w14:paraId="00000131">
      <w:pPr>
        <w:ind w:left="0" w:firstLine="72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https://securityscorecard.com/blog/qualitative-vs-quantitative-risk-assessment</w:t>
        </w:r>
      </w:hyperlink>
      <w:r w:rsidDel="00000000" w:rsidR="00000000" w:rsidRPr="00000000">
        <w:rPr>
          <w:rtl w:val="0"/>
        </w:rPr>
      </w:r>
    </w:p>
    <w:sectPr>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cisecurity.org/insights/blog/quantitative-risk-analysis-its-importance-and-implications" TargetMode="External"/><Relationship Id="rId7" Type="http://schemas.openxmlformats.org/officeDocument/2006/relationships/hyperlink" Target="https://nvlpubs.nist.gov/nistpubs/Legacy/SP/nistspecialpublication800-30r1.pdf" TargetMode="External"/><Relationship Id="rId8" Type="http://schemas.openxmlformats.org/officeDocument/2006/relationships/hyperlink" Target="https://securityscorecard.com/blog/qualitative-vs-quantitative-risk-assess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