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76"/>
        <w:jc w:val="left"/>
      </w:pPr>
      <w:r>
        <w:rPr>
          <w:b/>
          <w:bCs/>
          <w:color w:val="2F5496"/>
          <w:sz w:val="26"/>
          <w:szCs w:val="26"/>
        </w:rPr>
        <w:t xml:space="preserve">MindfulAI Labs</w:t>
      </w:r>
    </w:p>
    <w:p>
      <w:pPr>
        <w:spacing w:after="60" w:before="0" w:line="276"/>
        <w:jc w:val="left"/>
      </w:pPr>
      <w:r>
        <w:rPr>
          <w:i/>
          <w:iCs/>
          <w:color w:val="7F7F7F"/>
          <w:sz w:val="19"/>
          <w:szCs w:val="19"/>
        </w:rPr>
        <w:t xml:space="preserve">Simulated GRC Practice Environment</w:t>
      </w:r>
    </w:p>
    <w:p>
      <w:pPr>
        <w:pBdr>
          <w:bottom w:val="single" w:color="1F3864" w:sz="12" w:space="4"/>
        </w:pBdr>
        <w:spacing w:after="40"/>
      </w:pPr>
      <w:r>
        <w:rPr>
          <w:b/>
          <w:bCs/>
          <w:color w:val="1A1A1A"/>
          <w:sz w:val="38"/>
          <w:szCs w:val="38"/>
        </w:rPr>
        <w:t xml:space="preserve">Backup &amp; Recovery Test Record</w:t>
      </w:r>
    </w:p>
    <w:p>
      <w:pPr>
        <w:spacing w:after="220" w:before="40" w:line="276"/>
        <w:jc w:val="left"/>
      </w:pPr>
      <w:r>
        <w:rPr>
          <w:color w:val="7F7F7F"/>
          <w:sz w:val="20"/>
          <w:szCs w:val="20"/>
        </w:rPr>
        <w:t xml:space="preserve">Critical Production AI System — CTL-007  ·  ISO 27001 A.5.30</w:t>
      </w:r>
    </w:p>
    <w:p>
      <w:pPr>
        <w:pStyle w:val="Heading1"/>
        <w:pBdr>
          <w:bottom w:val="single" w:color="B4BED4" w:sz="6" w:space="3"/>
        </w:pBdr>
      </w:pPr>
      <w:r>
        <w:t xml:space="preserve">1. Document Control</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100"/>
        <w:gridCol w:w="6980"/>
      </w:tblGrid>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Document Title</w:t>
            </w:r>
          </w:p>
        </w:tc>
        <w:tc>
          <w:tcPr>
            <w:tcW w:type="dxa" w:w="6980"/>
            <w:tcMar>
              <w:top w:type="dxa" w:w="50"/>
              <w:left w:type="dxa" w:w="90"/>
              <w:bottom w:type="dxa" w:w="50"/>
              <w:right w:type="dxa" w:w="90"/>
            </w:tcMar>
            <w:vAlign w:val="center"/>
          </w:tcPr>
          <w:p>
            <w:pPr>
              <w:spacing w:after="0" w:line="264"/>
            </w:pPr>
            <w:r>
              <w:rPr>
                <w:color w:val="222222"/>
                <w:sz w:val="18"/>
                <w:szCs w:val="18"/>
              </w:rPr>
              <w:t xml:space="preserve">Backup &amp; Recovery Test Record — Critical Production AI System</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Document ID</w:t>
            </w:r>
          </w:p>
        </w:tc>
        <w:tc>
          <w:tcPr>
            <w:tcW w:type="dxa" w:w="6980"/>
            <w:tcMar>
              <w:top w:type="dxa" w:w="50"/>
              <w:left w:type="dxa" w:w="90"/>
              <w:bottom w:type="dxa" w:w="50"/>
              <w:right w:type="dxa" w:w="90"/>
            </w:tcMar>
            <w:vAlign w:val="center"/>
          </w:tcPr>
          <w:p>
            <w:pPr>
              <w:spacing w:after="0" w:line="264"/>
            </w:pPr>
            <w:r>
              <w:rPr>
                <w:color w:val="222222"/>
                <w:sz w:val="18"/>
                <w:szCs w:val="18"/>
              </w:rPr>
              <w:t xml:space="preserve">MAL-BRT-007</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Version</w:t>
            </w:r>
          </w:p>
        </w:tc>
        <w:tc>
          <w:tcPr>
            <w:tcW w:type="dxa" w:w="6980"/>
            <w:tcMar>
              <w:top w:type="dxa" w:w="50"/>
              <w:left w:type="dxa" w:w="90"/>
              <w:bottom w:type="dxa" w:w="50"/>
              <w:right w:type="dxa" w:w="90"/>
            </w:tcMar>
            <w:vAlign w:val="center"/>
          </w:tcPr>
          <w:p>
            <w:pPr>
              <w:spacing w:after="0" w:line="264"/>
            </w:pPr>
            <w:r>
              <w:rPr>
                <w:color w:val="222222"/>
                <w:sz w:val="18"/>
                <w:szCs w:val="18"/>
              </w:rPr>
              <w:t xml:space="preserve">1.0</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Classification</w:t>
            </w:r>
          </w:p>
        </w:tc>
        <w:tc>
          <w:tcPr>
            <w:tcW w:type="dxa" w:w="6980"/>
            <w:tcMar>
              <w:top w:type="dxa" w:w="50"/>
              <w:left w:type="dxa" w:w="90"/>
              <w:bottom w:type="dxa" w:w="50"/>
              <w:right w:type="dxa" w:w="90"/>
            </w:tcMar>
            <w:vAlign w:val="center"/>
          </w:tcPr>
          <w:p>
            <w:pPr>
              <w:spacing w:after="0" w:line="264"/>
            </w:pPr>
            <w:r>
              <w:rPr>
                <w:color w:val="222222"/>
                <w:sz w:val="18"/>
                <w:szCs w:val="18"/>
              </w:rPr>
              <w:t xml:space="preserve">Confidential — Internal Use Only</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Control Reference</w:t>
            </w:r>
          </w:p>
        </w:tc>
        <w:tc>
          <w:tcPr>
            <w:tcW w:type="dxa" w:w="6980"/>
            <w:tcMar>
              <w:top w:type="dxa" w:w="50"/>
              <w:left w:type="dxa" w:w="90"/>
              <w:bottom w:type="dxa" w:w="50"/>
              <w:right w:type="dxa" w:w="90"/>
            </w:tcMar>
            <w:vAlign w:val="center"/>
          </w:tcPr>
          <w:p>
            <w:pPr>
              <w:spacing w:after="0" w:line="264"/>
            </w:pPr>
            <w:r>
              <w:rPr>
                <w:color w:val="222222"/>
                <w:sz w:val="18"/>
                <w:szCs w:val="18"/>
              </w:rPr>
              <w:t xml:space="preserve">CTL-007 — Backup &amp; Recovery for Critical Production AI Systems</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Framework Mapping</w:t>
            </w:r>
          </w:p>
        </w:tc>
        <w:tc>
          <w:tcPr>
            <w:tcW w:type="dxa" w:w="6980"/>
            <w:tcMar>
              <w:top w:type="dxa" w:w="50"/>
              <w:left w:type="dxa" w:w="90"/>
              <w:bottom w:type="dxa" w:w="50"/>
              <w:right w:type="dxa" w:w="90"/>
            </w:tcMar>
            <w:vAlign w:val="center"/>
          </w:tcPr>
          <w:p>
            <w:pPr>
              <w:spacing w:after="0" w:line="264"/>
            </w:pPr>
            <w:r>
              <w:rPr>
                <w:color w:val="222222"/>
                <w:sz w:val="18"/>
                <w:szCs w:val="18"/>
              </w:rPr>
              <w:t xml:space="preserve">ISO 27001 A.5.30 (ICT readiness for business continuity)</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Control Owner</w:t>
            </w:r>
          </w:p>
        </w:tc>
        <w:tc>
          <w:tcPr>
            <w:tcW w:type="dxa" w:w="6980"/>
            <w:tcMar>
              <w:top w:type="dxa" w:w="50"/>
              <w:left w:type="dxa" w:w="90"/>
              <w:bottom w:type="dxa" w:w="50"/>
              <w:right w:type="dxa" w:w="90"/>
            </w:tcMar>
            <w:vAlign w:val="center"/>
          </w:tcPr>
          <w:p>
            <w:pPr>
              <w:spacing w:after="0" w:line="264"/>
            </w:pPr>
            <w:r>
              <w:rPr>
                <w:color w:val="222222"/>
                <w:sz w:val="18"/>
                <w:szCs w:val="18"/>
              </w:rPr>
              <w:t xml:space="preserve">Infrastructure Operations Team</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In-Scope Assets</w:t>
            </w:r>
          </w:p>
        </w:tc>
        <w:tc>
          <w:tcPr>
            <w:tcW w:type="dxa" w:w="6980"/>
            <w:tcMar>
              <w:top w:type="dxa" w:w="50"/>
              <w:left w:type="dxa" w:w="90"/>
              <w:bottom w:type="dxa" w:w="50"/>
              <w:right w:type="dxa" w:w="90"/>
            </w:tcMar>
            <w:vAlign w:val="center"/>
          </w:tcPr>
          <w:p>
            <w:pPr>
              <w:spacing w:after="0" w:line="264"/>
            </w:pPr>
            <w:r>
              <w:rPr>
                <w:color w:val="222222"/>
                <w:sz w:val="18"/>
                <w:szCs w:val="18"/>
              </w:rPr>
              <w:t xml:space="preserve">AST-001 (protected system); AST-009 (backup source); AST-010 (recovery environment)</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Prepared By</w:t>
            </w:r>
          </w:p>
        </w:tc>
        <w:tc>
          <w:tcPr>
            <w:tcW w:type="dxa" w:w="6980"/>
            <w:tcMar>
              <w:top w:type="dxa" w:w="50"/>
              <w:left w:type="dxa" w:w="90"/>
              <w:bottom w:type="dxa" w:w="50"/>
              <w:right w:type="dxa" w:w="90"/>
            </w:tcMar>
            <w:vAlign w:val="center"/>
          </w:tcPr>
          <w:p>
            <w:pPr>
              <w:spacing w:after="0" w:line="264"/>
            </w:pPr>
            <w:r>
              <w:rPr>
                <w:color w:val="222222"/>
                <w:sz w:val="18"/>
                <w:szCs w:val="18"/>
              </w:rPr>
              <w:t xml:space="preserve">Maxine Jones, GRC Analyst</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Assessment Period</w:t>
            </w:r>
          </w:p>
        </w:tc>
        <w:tc>
          <w:tcPr>
            <w:tcW w:type="dxa" w:w="6980"/>
            <w:tcMar>
              <w:top w:type="dxa" w:w="50"/>
              <w:left w:type="dxa" w:w="90"/>
              <w:bottom w:type="dxa" w:w="50"/>
              <w:right w:type="dxa" w:w="90"/>
            </w:tcMar>
            <w:vAlign w:val="center"/>
          </w:tcPr>
          <w:p>
            <w:pPr>
              <w:spacing w:after="0" w:line="264"/>
            </w:pPr>
            <w:r>
              <w:rPr>
                <w:color w:val="222222"/>
                <w:sz w:val="18"/>
                <w:szCs w:val="18"/>
              </w:rPr>
              <w:t xml:space="preserve">Q3 2026</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Test Date</w:t>
            </w:r>
          </w:p>
        </w:tc>
        <w:tc>
          <w:tcPr>
            <w:tcW w:type="dxa" w:w="6980"/>
            <w:tcMar>
              <w:top w:type="dxa" w:w="50"/>
              <w:left w:type="dxa" w:w="90"/>
              <w:bottom w:type="dxa" w:w="50"/>
              <w:right w:type="dxa" w:w="90"/>
            </w:tcMar>
            <w:vAlign w:val="center"/>
          </w:tcPr>
          <w:p>
            <w:pPr>
              <w:spacing w:after="0" w:line="264"/>
            </w:pPr>
            <w:r>
              <w:rPr>
                <w:color w:val="222222"/>
                <w:sz w:val="18"/>
                <w:szCs w:val="18"/>
              </w:rPr>
              <w:t xml:space="preserve">______________________  </w:t>
            </w:r>
            <w:r>
              <w:rPr>
                <w:color w:val="7F7F7F"/>
                <w:sz w:val="18"/>
                <w:szCs w:val="18"/>
              </w:rPr>
              <w:t xml:space="preserve">(within Q3 2026 assessment period)</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Assessment Frequency (Control)</w:t>
            </w:r>
          </w:p>
        </w:tc>
        <w:tc>
          <w:tcPr>
            <w:tcW w:type="dxa" w:w="6980"/>
            <w:tcMar>
              <w:top w:type="dxa" w:w="50"/>
              <w:left w:type="dxa" w:w="90"/>
              <w:bottom w:type="dxa" w:w="50"/>
              <w:right w:type="dxa" w:w="90"/>
            </w:tcMar>
            <w:vAlign w:val="center"/>
          </w:tcPr>
          <w:p>
            <w:pPr>
              <w:spacing w:after="0" w:line="264"/>
            </w:pPr>
            <w:r>
              <w:rPr>
                <w:color w:val="222222"/>
                <w:sz w:val="18"/>
                <w:szCs w:val="18"/>
              </w:rPr>
              <w:t xml:space="preserve">Quarterly</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Status</w:t>
            </w:r>
          </w:p>
        </w:tc>
        <w:tc>
          <w:tcPr>
            <w:tcW w:type="dxa" w:w="6980"/>
            <w:tcMar>
              <w:top w:type="dxa" w:w="50"/>
              <w:left w:type="dxa" w:w="90"/>
              <w:bottom w:type="dxa" w:w="50"/>
              <w:right w:type="dxa" w:w="90"/>
            </w:tcMar>
            <w:vAlign w:val="center"/>
          </w:tcPr>
          <w:p>
            <w:pPr>
              <w:spacing w:after="0" w:line="264"/>
            </w:pPr>
            <w:r>
              <w:rPr>
                <w:color w:val="222222"/>
                <w:sz w:val="18"/>
                <w:szCs w:val="18"/>
              </w:rPr>
              <w:t xml:space="preserve">Final — Portfolio Simulation</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Overall Effectiveness Conclusion</w:t>
            </w:r>
          </w:p>
        </w:tc>
        <w:tc>
          <w:tcPr>
            <w:tcW w:type="dxa" w:w="6980"/>
            <w:tcMar>
              <w:top w:type="dxa" w:w="50"/>
              <w:left w:type="dxa" w:w="90"/>
              <w:bottom w:type="dxa" w:w="50"/>
              <w:right w:type="dxa" w:w="90"/>
            </w:tcMar>
            <w:vAlign w:val="center"/>
          </w:tcPr>
          <w:p>
            <w:pPr>
              <w:spacing w:after="0" w:line="264"/>
            </w:pPr>
            <w:r>
              <w:rPr>
                <w:b/>
                <w:bCs/>
                <w:color w:val="222222"/>
                <w:sz w:val="18"/>
                <w:szCs w:val="18"/>
              </w:rPr>
              <w:t xml:space="preserve">Effective</w:t>
            </w:r>
          </w:p>
        </w:tc>
      </w:tr>
    </w:tbl>
    <w:p>
      <w:pPr>
        <w:pStyle w:val="Heading1"/>
        <w:pBdr>
          <w:bottom w:val="single" w:color="B4BED4" w:sz="6" w:space="3"/>
        </w:pBdr>
      </w:pPr>
      <w:r>
        <w:t xml:space="preserve">2. Purpose</w:t>
      </w:r>
    </w:p>
    <w:p>
      <w:pPr>
        <w:spacing w:after="120" w:before="0" w:line="276"/>
        <w:jc w:val="left"/>
      </w:pPr>
      <w:r>
        <w:rPr>
          <w:color w:val="222222"/>
          <w:sz w:val="21"/>
          <w:szCs w:val="21"/>
        </w:rPr>
        <w:t xml:space="preserve">This record documents a simulated quarterly backup-and-recovery test of the in-scope critical production AI system, in support of CTL-007 (ISO 27001 A.5.30 — ICT readiness for business continuity). It assesses whether backups of the critical system complete and are recoverable, and whether the critical service can be restored in the recovery environment, on the control’s defined quarterly frequency. The control is owned by the Infrastructure Operations Team.</w:t>
      </w:r>
    </w:p>
    <w:p>
      <w:pPr>
        <w:spacing w:after="120" w:before="0" w:line="276"/>
        <w:jc w:val="left"/>
      </w:pPr>
      <w:r>
        <w:rPr>
          <w:b/>
          <w:bCs/>
          <w:i/>
          <w:iCs/>
          <w:color w:val="222222"/>
          <w:sz w:val="21"/>
          <w:szCs w:val="21"/>
        </w:rPr>
        <w:t xml:space="preserve">All results recorded in this test record are simulated, illustrative outcomes produced for a portfolio artifact.</w:t>
      </w:r>
      <w:r>
        <w:rPr>
          <w:i/>
          <w:iCs/>
          <w:color w:val="222222"/>
          <w:sz w:val="21"/>
          <w:szCs w:val="21"/>
        </w:rPr>
        <w:t xml:space="preserve"> They are not derived from an actual backup job, restore operation, failover, or measured recovery metric, and no production or recovery system was accessed. No actual restore or failover was performed.</w:t>
      </w:r>
    </w:p>
    <w:p>
      <w:pPr>
        <w:pStyle w:val="Heading1"/>
        <w:pBdr>
          <w:bottom w:val="single" w:color="B4BED4" w:sz="6" w:space="3"/>
        </w:pBdr>
      </w:pPr>
      <w:r>
        <w:t xml:space="preserve">3. Scope</w:t>
      </w:r>
    </w:p>
    <w:p>
      <w:pPr>
        <w:spacing w:after="120" w:before="0" w:line="276"/>
        <w:jc w:val="left"/>
      </w:pPr>
      <w:r>
        <w:rPr>
          <w:b/>
          <w:bCs/>
          <w:color w:val="222222"/>
          <w:sz w:val="21"/>
          <w:szCs w:val="21"/>
        </w:rPr>
        <w:t xml:space="preserve">In scope. </w:t>
      </w:r>
      <w:r>
        <w:rPr>
          <w:color w:val="222222"/>
          <w:sz w:val="21"/>
          <w:szCs w:val="21"/>
        </w:rPr>
        <w:t xml:space="preserve">The test covers the backup and recovery of the following critical production AI system and its supporting backup and recovery assets:</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300"/>
        <w:gridCol w:w="2450"/>
        <w:gridCol w:w="2250"/>
        <w:gridCol w:w="1450"/>
        <w:gridCol w:w="1430"/>
        <w:gridCol w:w="1200"/>
      </w:tblGrid>
      <w:tr>
        <w:trPr>
          <w:cantSplit/>
          <w:tblHeader/>
        </w:trPr>
        <w:tc>
          <w:tcPr>
            <w:tcW w:type="dxa" w:w="13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Asset ID</w:t>
            </w:r>
          </w:p>
        </w:tc>
        <w:tc>
          <w:tcPr>
            <w:tcW w:type="dxa" w:w="245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Asset Name</w:t>
            </w:r>
          </w:p>
        </w:tc>
        <w:tc>
          <w:tcPr>
            <w:tcW w:type="dxa" w:w="225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Role in Test</w:t>
            </w:r>
          </w:p>
        </w:tc>
        <w:tc>
          <w:tcPr>
            <w:tcW w:type="dxa" w:w="145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Type</w:t>
            </w:r>
          </w:p>
        </w:tc>
        <w:tc>
          <w:tcPr>
            <w:tcW w:type="dxa" w:w="143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Classification</w:t>
            </w:r>
          </w:p>
        </w:tc>
        <w:tc>
          <w:tcPr>
            <w:tcW w:type="dxa" w:w="12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Env</w:t>
            </w:r>
          </w:p>
        </w:tc>
      </w:tr>
      <w:tr>
        <w:trPr>
          <w:cantSplit/>
        </w:trPr>
        <w:tc>
          <w:tcPr>
            <w:tcW w:type="dxa" w:w="13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AST-001</w:t>
            </w:r>
          </w:p>
        </w:tc>
        <w:tc>
          <w:tcPr>
            <w:tcW w:type="dxa" w:w="245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Clinical Diagnostic AI Model</w:t>
            </w:r>
          </w:p>
        </w:tc>
        <w:tc>
          <w:tcPr>
            <w:tcW w:type="dxa" w:w="225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Protected system (restored)</w:t>
            </w:r>
          </w:p>
        </w:tc>
        <w:tc>
          <w:tcPr>
            <w:tcW w:type="dxa" w:w="145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Application</w:t>
            </w:r>
          </w:p>
        </w:tc>
        <w:tc>
          <w:tcPr>
            <w:tcW w:type="dxa" w:w="143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Critical</w:t>
            </w:r>
          </w:p>
        </w:tc>
        <w:tc>
          <w:tcPr>
            <w:tcW w:type="dxa" w:w="12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Production</w:t>
            </w:r>
          </w:p>
        </w:tc>
      </w:tr>
      <w:tr>
        <w:trPr>
          <w:cantSplit/>
        </w:trPr>
        <w:tc>
          <w:tcPr>
            <w:tcW w:type="dxa" w:w="13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AST-009</w:t>
            </w:r>
          </w:p>
        </w:tc>
        <w:tc>
          <w:tcPr>
            <w:tcW w:type="dxa" w:w="245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Clinical AI Backup Repository</w:t>
            </w:r>
          </w:p>
        </w:tc>
        <w:tc>
          <w:tcPr>
            <w:tcW w:type="dxa" w:w="225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Backup source</w:t>
            </w:r>
          </w:p>
        </w:tc>
        <w:tc>
          <w:tcPr>
            <w:tcW w:type="dxa" w:w="145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Data Store</w:t>
            </w:r>
          </w:p>
        </w:tc>
        <w:tc>
          <w:tcPr>
            <w:tcW w:type="dxa" w:w="143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High</w:t>
            </w:r>
          </w:p>
        </w:tc>
        <w:tc>
          <w:tcPr>
            <w:tcW w:type="dxa" w:w="12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DR</w:t>
            </w:r>
          </w:p>
        </w:tc>
      </w:tr>
      <w:tr>
        <w:trPr>
          <w:cantSplit/>
        </w:trPr>
        <w:tc>
          <w:tcPr>
            <w:tcW w:type="dxa" w:w="13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AST-010</w:t>
            </w:r>
          </w:p>
        </w:tc>
        <w:tc>
          <w:tcPr>
            <w:tcW w:type="dxa" w:w="245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AI Disaster Recovery Cloud Environment</w:t>
            </w:r>
          </w:p>
        </w:tc>
        <w:tc>
          <w:tcPr>
            <w:tcW w:type="dxa" w:w="225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Recovery environment</w:t>
            </w:r>
          </w:p>
        </w:tc>
        <w:tc>
          <w:tcPr>
            <w:tcW w:type="dxa" w:w="145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Cloud Account</w:t>
            </w:r>
          </w:p>
        </w:tc>
        <w:tc>
          <w:tcPr>
            <w:tcW w:type="dxa" w:w="143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High</w:t>
            </w:r>
          </w:p>
        </w:tc>
        <w:tc>
          <w:tcPr>
            <w:tcW w:type="dxa" w:w="12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DR</w:t>
            </w:r>
          </w:p>
        </w:tc>
      </w:tr>
    </w:tbl>
    <w:p>
      <w:pPr>
        <w:spacing w:after="120" w:before="60" w:line="276"/>
        <w:jc w:val="left"/>
      </w:pPr>
      <w:r>
        <w:rPr>
          <w:b/>
          <w:bCs/>
          <w:color w:val="222222"/>
          <w:sz w:val="21"/>
          <w:szCs w:val="21"/>
        </w:rPr>
        <w:t xml:space="preserve">Program-level consideration. </w:t>
      </w:r>
      <w:r>
        <w:rPr>
          <w:color w:val="222222"/>
          <w:sz w:val="21"/>
          <w:szCs w:val="21"/>
        </w:rPr>
        <w:t xml:space="preserve">AST-002 (Financial Risk Training Data Repository, High / Production) is a High-criticality production system that a full backup-and-recovery program would also cover. It is not included in this test, which is scoped to the critical (AST-001) system and its backup/recovery chain; expanding scope solely because an asset is High is avoided.</w:t>
      </w:r>
    </w:p>
    <w:p>
      <w:pPr>
        <w:spacing w:after="120" w:before="40" w:line="276"/>
        <w:jc w:val="left"/>
      </w:pPr>
      <w:r>
        <w:rPr>
          <w:b/>
          <w:bCs/>
          <w:color w:val="222222"/>
          <w:sz w:val="21"/>
          <w:szCs w:val="21"/>
        </w:rPr>
        <w:t xml:space="preserve">Ownership note (traceability). </w:t>
      </w:r>
      <w:r>
        <w:rPr>
          <w:color w:val="222222"/>
          <w:sz w:val="21"/>
          <w:szCs w:val="21"/>
        </w:rPr>
        <w:t xml:space="preserve">The control owner (Infrastructure Operations Team) differs from the backup owner (Data Protection Team, AST-009), the recovery-environment owner (Cloud Operations Team, AST-010), and the protected-system owner (Clinical AI &amp; Machine Learning Team, AST-001). This is a coordination point represented in the RACI (Section 7); it is not a deficiency.</w:t>
      </w:r>
    </w:p>
    <w:p>
      <w:pPr>
        <w:spacing w:after="120" w:before="40" w:line="276"/>
        <w:jc w:val="left"/>
      </w:pPr>
      <w:r>
        <w:rPr>
          <w:b/>
          <w:bCs/>
          <w:color w:val="222222"/>
          <w:sz w:val="21"/>
          <w:szCs w:val="21"/>
        </w:rPr>
        <w:t xml:space="preserve">Out of scope. </w:t>
      </w:r>
      <w:r>
        <w:rPr>
          <w:color w:val="222222"/>
          <w:sz w:val="21"/>
          <w:szCs w:val="21"/>
        </w:rPr>
        <w:t xml:space="preserve">Backup confidentiality / access-control operation (see RSK-008 note in Section 5 and CTL-002); non-critical systems; and assets not enumerated above.</w:t>
      </w:r>
    </w:p>
    <w:p>
      <w:pPr>
        <w:spacing w:after="120" w:before="40" w:line="276"/>
        <w:jc w:val="left"/>
      </w:pPr>
      <w:r>
        <w:rPr>
          <w:i/>
          <w:iCs/>
          <w:color w:val="7F7F7F"/>
          <w:sz w:val="18"/>
          <w:szCs w:val="18"/>
        </w:rPr>
        <w:t xml:space="preserve">Asset identifiers use the project’s normalized register scheme (AST-001, AST-009, AST-010); asset names, types, classifications, environments, and owners are source/project data.</w:t>
      </w:r>
    </w:p>
    <w:p>
      <w:pPr>
        <w:pStyle w:val="Heading1"/>
        <w:pBdr>
          <w:bottom w:val="single" w:color="B4BED4" w:sz="6" w:space="3"/>
        </w:pBdr>
      </w:pPr>
      <w:r>
        <w:t xml:space="preserve">4. Control Reference &amp; Framework Mapping</w:t>
      </w:r>
    </w:p>
    <w:p>
      <w:pPr>
        <w:spacing w:after="120" w:before="0" w:line="276"/>
        <w:jc w:val="left"/>
      </w:pPr>
      <w:r>
        <w:rPr>
          <w:b/>
          <w:bCs/>
          <w:color w:val="222222"/>
          <w:sz w:val="21"/>
          <w:szCs w:val="21"/>
        </w:rPr>
        <w:t xml:space="preserve">Control as recorded in the MindfulAI Labs Control Register (source/project data):</w:t>
      </w:r>
    </w:p>
    <w:p>
      <w:pPr>
        <w:pStyle w:val="ListParagraph"/>
        <w:numPr>
          <w:ilvl w:val="0"/>
          <w:numId w:val="1"/>
        </w:numPr>
        <w:spacing w:after="60" w:line="276"/>
      </w:pPr>
      <w:r>
        <w:rPr>
          <w:b/>
          <w:bCs/>
          <w:color w:val="222222"/>
          <w:sz w:val="21"/>
          <w:szCs w:val="21"/>
        </w:rPr>
        <w:t xml:space="preserve">Control name: </w:t>
      </w:r>
      <w:r>
        <w:rPr>
          <w:color w:val="222222"/>
          <w:sz w:val="21"/>
          <w:szCs w:val="21"/>
        </w:rPr>
        <w:t xml:space="preserve">Maintain tested backup and recovery procedures for critical production AI systems</w:t>
      </w:r>
    </w:p>
    <w:p>
      <w:pPr>
        <w:pStyle w:val="ListParagraph"/>
        <w:numPr>
          <w:ilvl w:val="0"/>
          <w:numId w:val="1"/>
        </w:numPr>
        <w:spacing w:after="60" w:line="276"/>
      </w:pPr>
      <w:r>
        <w:rPr>
          <w:b/>
          <w:bCs/>
          <w:color w:val="222222"/>
          <w:sz w:val="21"/>
          <w:szCs w:val="21"/>
        </w:rPr>
        <w:t xml:space="preserve">Framework reference: </w:t>
      </w:r>
      <w:r>
        <w:rPr>
          <w:color w:val="222222"/>
          <w:sz w:val="21"/>
          <w:szCs w:val="21"/>
        </w:rPr>
        <w:t xml:space="preserve">ISO 27001 — A.5.30</w:t>
      </w:r>
    </w:p>
    <w:p>
      <w:pPr>
        <w:pStyle w:val="ListParagraph"/>
        <w:numPr>
          <w:ilvl w:val="0"/>
          <w:numId w:val="1"/>
        </w:numPr>
        <w:spacing w:after="60" w:line="276"/>
      </w:pPr>
      <w:r>
        <w:rPr>
          <w:b/>
          <w:bCs/>
          <w:color w:val="222222"/>
          <w:sz w:val="21"/>
          <w:szCs w:val="21"/>
        </w:rPr>
        <w:t xml:space="preserve">Effectiveness rating: </w:t>
      </w:r>
      <w:r>
        <w:rPr>
          <w:color w:val="222222"/>
          <w:sz w:val="21"/>
          <w:szCs w:val="21"/>
        </w:rPr>
        <w:t xml:space="preserve">Effective</w:t>
      </w:r>
    </w:p>
    <w:p>
      <w:pPr>
        <w:pStyle w:val="ListParagraph"/>
        <w:numPr>
          <w:ilvl w:val="0"/>
          <w:numId w:val="1"/>
        </w:numPr>
        <w:spacing w:after="60" w:line="276"/>
      </w:pPr>
      <w:r>
        <w:rPr>
          <w:b/>
          <w:bCs/>
          <w:color w:val="222222"/>
          <w:sz w:val="21"/>
          <w:szCs w:val="21"/>
        </w:rPr>
        <w:t xml:space="preserve">Assessment frequency: </w:t>
      </w:r>
      <w:r>
        <w:rPr>
          <w:color w:val="222222"/>
          <w:sz w:val="21"/>
          <w:szCs w:val="21"/>
        </w:rPr>
        <w:t xml:space="preserve">Quarterly</w:t>
      </w:r>
    </w:p>
    <w:p>
      <w:pPr>
        <w:pStyle w:val="ListParagraph"/>
        <w:numPr>
          <w:ilvl w:val="0"/>
          <w:numId w:val="1"/>
        </w:numPr>
        <w:spacing w:after="60" w:line="276"/>
      </w:pPr>
      <w:r>
        <w:rPr>
          <w:b/>
          <w:bCs/>
          <w:color w:val="222222"/>
          <w:sz w:val="21"/>
          <w:szCs w:val="21"/>
        </w:rPr>
        <w:t xml:space="preserve">Control owner: </w:t>
      </w:r>
      <w:r>
        <w:rPr>
          <w:color w:val="222222"/>
          <w:sz w:val="21"/>
          <w:szCs w:val="21"/>
        </w:rPr>
        <w:t xml:space="preserve">Infrastructure Operations Team</w:t>
      </w:r>
    </w:p>
    <w:p>
      <w:pPr>
        <w:pStyle w:val="ListParagraph"/>
        <w:numPr>
          <w:ilvl w:val="0"/>
          <w:numId w:val="1"/>
        </w:numPr>
        <w:spacing w:after="60" w:line="276"/>
      </w:pPr>
      <w:r>
        <w:rPr>
          <w:b/>
          <w:bCs/>
          <w:color w:val="222222"/>
          <w:sz w:val="21"/>
          <w:szCs w:val="21"/>
        </w:rPr>
        <w:t xml:space="preserve">Control identifier: </w:t>
      </w:r>
      <w:r>
        <w:rPr>
          <w:color w:val="222222"/>
          <w:sz w:val="21"/>
          <w:szCs w:val="21"/>
        </w:rPr>
        <w:t xml:space="preserve">assigned as CTL-007 under the project’s normalized ID scheme; the source register did not expose an internal identifier. Description, rationale, and detailed framework references remain not exposed in source (null) and were not invented for this document.</w:t>
      </w:r>
    </w:p>
    <w:p>
      <w:pPr>
        <w:spacing w:after="120" w:before="0" w:line="276"/>
        <w:jc w:val="left"/>
      </w:pPr>
      <w:r>
        <w:rPr>
          <w:b/>
          <w:bCs/>
          <w:color w:val="222222"/>
          <w:sz w:val="21"/>
          <w:szCs w:val="21"/>
        </w:rPr>
        <w:t xml:space="preserve">Supplemental framework mapping (portfolio-developed). </w:t>
      </w:r>
      <w:r>
        <w:rPr>
          <w:color w:val="222222"/>
          <w:sz w:val="21"/>
          <w:szCs w:val="21"/>
        </w:rPr>
        <w:t xml:space="preserve">The source register maps this control to ISO 27001 A.5.30. To show how the control’s requirements align to related ISO/IEC 27001:2022 controls and a cross-framework reference, the following mapping was developed for portfolio purposes; only “A.5.30” is contained in the source register.</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750"/>
        <w:gridCol w:w="4630"/>
        <w:gridCol w:w="1500"/>
        <w:gridCol w:w="2200"/>
      </w:tblGrid>
      <w:tr>
        <w:trPr>
          <w:cantSplit/>
          <w:tblHeader/>
        </w:trPr>
        <w:tc>
          <w:tcPr>
            <w:tcW w:type="dxa" w:w="175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Reference</w:t>
            </w:r>
          </w:p>
        </w:tc>
        <w:tc>
          <w:tcPr>
            <w:tcW w:type="dxa" w:w="463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Control / Subcategory (abbreviated)</w:t>
            </w:r>
          </w:p>
        </w:tc>
        <w:tc>
          <w:tcPr>
            <w:tcW w:type="dxa" w:w="15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Origin</w:t>
            </w:r>
          </w:p>
        </w:tc>
        <w:tc>
          <w:tcPr>
            <w:tcW w:type="dxa" w:w="22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Addressed in</w:t>
            </w:r>
          </w:p>
        </w:tc>
      </w:tr>
      <w:tr>
        <w:trPr>
          <w:cantSplit/>
        </w:trPr>
        <w:tc>
          <w:tcPr>
            <w:tcW w:type="dxa" w:w="175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ISO A.5.30</w:t>
            </w:r>
          </w:p>
        </w:tc>
        <w:tc>
          <w:tcPr>
            <w:tcW w:type="dxa" w:w="463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ICT readiness for business continuity</w:t>
            </w:r>
          </w:p>
        </w:tc>
        <w:tc>
          <w:tcPr>
            <w:tcW w:type="dxa" w:w="15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Source</w:t>
            </w:r>
          </w:p>
        </w:tc>
        <w:tc>
          <w:tcPr>
            <w:tcW w:type="dxa" w:w="22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§8 (recovery &amp; failover)</w:t>
            </w:r>
          </w:p>
        </w:tc>
      </w:tr>
      <w:tr>
        <w:trPr>
          <w:cantSplit/>
        </w:trPr>
        <w:tc>
          <w:tcPr>
            <w:tcW w:type="dxa" w:w="175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ISO A.8.13</w:t>
            </w:r>
          </w:p>
        </w:tc>
        <w:tc>
          <w:tcPr>
            <w:tcW w:type="dxa" w:w="463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Information backup</w:t>
            </w:r>
          </w:p>
        </w:tc>
        <w:tc>
          <w:tcPr>
            <w:tcW w:type="dxa" w:w="15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Supplemental</w:t>
            </w:r>
          </w:p>
        </w:tc>
        <w:tc>
          <w:tcPr>
            <w:tcW w:type="dxa" w:w="22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§8 (backup completion &amp; integrity)</w:t>
            </w:r>
          </w:p>
        </w:tc>
      </w:tr>
      <w:tr>
        <w:trPr>
          <w:cantSplit/>
        </w:trPr>
        <w:tc>
          <w:tcPr>
            <w:tcW w:type="dxa" w:w="175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ISO A.5.29</w:t>
            </w:r>
          </w:p>
        </w:tc>
        <w:tc>
          <w:tcPr>
            <w:tcW w:type="dxa" w:w="463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Information security during disruption</w:t>
            </w:r>
          </w:p>
        </w:tc>
        <w:tc>
          <w:tcPr>
            <w:tcW w:type="dxa" w:w="15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Supplemental</w:t>
            </w:r>
          </w:p>
        </w:tc>
        <w:tc>
          <w:tcPr>
            <w:tcW w:type="dxa" w:w="22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§8 (service recovery)</w:t>
            </w:r>
          </w:p>
        </w:tc>
      </w:tr>
      <w:tr>
        <w:trPr>
          <w:cantSplit/>
        </w:trPr>
        <w:tc>
          <w:tcPr>
            <w:tcW w:type="dxa" w:w="175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NIST CSF RC.RP-01</w:t>
            </w:r>
          </w:p>
        </w:tc>
        <w:tc>
          <w:tcPr>
            <w:tcW w:type="dxa" w:w="463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Recovery plan is executed during / after an incident</w:t>
            </w:r>
          </w:p>
        </w:tc>
        <w:tc>
          <w:tcPr>
            <w:tcW w:type="dxa" w:w="15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Supplemental</w:t>
            </w:r>
          </w:p>
        </w:tc>
        <w:tc>
          <w:tcPr>
            <w:tcW w:type="dxa" w:w="22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§6, §8</w:t>
            </w:r>
          </w:p>
        </w:tc>
      </w:tr>
    </w:tbl>
    <w:p>
      <w:pPr>
        <w:pStyle w:val="Heading1"/>
        <w:pBdr>
          <w:bottom w:val="single" w:color="B4BED4" w:sz="6" w:space="3"/>
        </w:pBdr>
      </w:pPr>
      <w:r>
        <w:t xml:space="preserve">5. Linked Register Risk</w:t>
      </w:r>
    </w:p>
    <w:p>
      <w:pPr>
        <w:spacing w:after="120" w:before="0" w:line="276"/>
        <w:jc w:val="left"/>
      </w:pPr>
      <w:r>
        <w:rPr>
          <w:b/>
          <w:bCs/>
          <w:color w:val="222222"/>
          <w:sz w:val="21"/>
          <w:szCs w:val="21"/>
        </w:rPr>
        <w:t xml:space="preserve">Primary register risk (direct fit — no coverage gap). </w:t>
      </w:r>
      <w:r>
        <w:rPr>
          <w:color w:val="222222"/>
          <w:sz w:val="21"/>
          <w:szCs w:val="21"/>
        </w:rPr>
        <w:t xml:space="preserve">This control maps directly to </w:t>
      </w:r>
      <w:r>
        <w:rPr>
          <w:b/>
          <w:bCs/>
          <w:color w:val="222222"/>
          <w:sz w:val="21"/>
          <w:szCs w:val="21"/>
        </w:rPr>
        <w:t xml:space="preserve">RSK-007</w:t>
      </w:r>
      <w:r>
        <w:rPr>
          <w:color w:val="222222"/>
          <w:sz w:val="21"/>
          <w:szCs w:val="21"/>
        </w:rPr>
        <w:t xml:space="preserve"> — “Infrastructure outage exploits inadequate recovery testing causing prolonged service disruption to AI Disaster Recovery Cloud Environment” (Availability; Likelihood 2 / Impact 5; Open; Cloud Operations Team). The risk’s stated cause, “inadequate recovery testing,” is precisely what CTL-007 is designed to address. Unlike CTL-005 (MAL-VMA-005) and CTL-006 (MAL-PIA-006), the register contains a directly relevant risk here, so no risk-register coverage gap is claimed for this control.</w:t>
      </w:r>
    </w:p>
    <w:p>
      <w:pPr>
        <w:spacing w:after="120" w:before="0" w:line="276"/>
        <w:jc w:val="left"/>
      </w:pPr>
      <w:r>
        <w:rPr>
          <w:b/>
          <w:bCs/>
          <w:color w:val="222222"/>
          <w:sz w:val="21"/>
          <w:szCs w:val="21"/>
        </w:rPr>
        <w:t xml:space="preserve">Related but distinct risk. </w:t>
      </w:r>
      <w:r>
        <w:rPr>
          <w:color w:val="222222"/>
          <w:sz w:val="21"/>
          <w:szCs w:val="21"/>
        </w:rPr>
        <w:t xml:space="preserve">RSK-008 — “Unauthorized user exploits inadequate backup access controls causing sensitive data exposure to Clinical AI Backup Repository” (Data Protection; Likelihood 2 / Impact 4; Open; Data Protection Team) — concerns the confidentiality / access control of the backup repository, not recovery availability. It is addressed through access controls (CTL-002 — User Access Review) and the privacy assessment (MAL-PIA-006), and is therefore noted here but not treated as this control’s primary risk.</w:t>
      </w:r>
    </w:p>
    <w:p>
      <w:pPr>
        <w:spacing w:after="120" w:before="40" w:line="276"/>
        <w:jc w:val="left"/>
      </w:pPr>
      <w:r>
        <w:rPr>
          <w:i/>
          <w:iCs/>
          <w:color w:val="7F7F7F"/>
          <w:sz w:val="18"/>
          <w:szCs w:val="18"/>
        </w:rPr>
        <w:t xml:space="preserve">Risk identifiers RSK-007 and RSK-008 use the project’s normalized register scheme; their source identifiers were not exposed (null). Likelihood / impact / status / owner values are source/project data and are not modified by this record.</w:t>
      </w:r>
    </w:p>
    <w:p>
      <w:pPr>
        <w:pStyle w:val="Heading1"/>
        <w:pBdr>
          <w:bottom w:val="single" w:color="B4BED4" w:sz="6" w:space="3"/>
        </w:pBdr>
      </w:pPr>
      <w:r>
        <w:t xml:space="preserve">6. Methodology (Simulated Test Procedure)</w:t>
      </w:r>
    </w:p>
    <w:p>
      <w:pPr>
        <w:spacing w:after="120" w:before="0" w:line="276"/>
        <w:jc w:val="left"/>
      </w:pPr>
      <w:r>
        <w:rPr>
          <w:color w:val="222222"/>
          <w:sz w:val="21"/>
          <w:szCs w:val="21"/>
        </w:rPr>
        <w:t xml:space="preserve">The following procedure describes how the quarterly backup-and-recovery test would be performed and evaluated. Steps marked “evidence required” depend on artifacts that would be collected in a live engagement (see Section 12).</w:t>
      </w:r>
    </w:p>
    <w:p>
      <w:pPr>
        <w:spacing w:after="60" w:line="276"/>
        <w:ind w:left="360" w:hanging="360"/>
      </w:pPr>
      <w:r>
        <w:rPr>
          <w:b/>
          <w:bCs/>
          <w:color w:val="222222"/>
          <w:sz w:val="21"/>
          <w:szCs w:val="21"/>
        </w:rPr>
        <w:t xml:space="preserve">1.  </w:t>
      </w:r>
      <w:r>
        <w:rPr>
          <w:color w:val="222222"/>
          <w:sz w:val="21"/>
          <w:szCs w:val="21"/>
        </w:rPr>
        <w:t xml:space="preserve">Confirm that scheduled backups of the in-scope critical production AI system complete and are retained per policy. (Evidence required: backup job records.)</w:t>
      </w:r>
    </w:p>
    <w:p>
      <w:pPr>
        <w:spacing w:after="60" w:line="276"/>
        <w:ind w:left="360" w:hanging="360"/>
      </w:pPr>
      <w:r>
        <w:rPr>
          <w:b/>
          <w:bCs/>
          <w:color w:val="222222"/>
          <w:sz w:val="21"/>
          <w:szCs w:val="21"/>
        </w:rPr>
        <w:t xml:space="preserve">2.  </w:t>
      </w:r>
      <w:r>
        <w:rPr>
          <w:color w:val="222222"/>
          <w:sz w:val="21"/>
          <w:szCs w:val="21"/>
        </w:rPr>
        <w:t xml:space="preserve">Verify backup integrity (for example, checksum or validation). (Evidence required.)</w:t>
      </w:r>
    </w:p>
    <w:p>
      <w:pPr>
        <w:spacing w:after="60" w:line="276"/>
        <w:ind w:left="360" w:hanging="360"/>
      </w:pPr>
      <w:r>
        <w:rPr>
          <w:b/>
          <w:bCs/>
          <w:color w:val="222222"/>
          <w:sz w:val="21"/>
          <w:szCs w:val="21"/>
        </w:rPr>
        <w:t xml:space="preserve">3.  </w:t>
      </w:r>
      <w:r>
        <w:rPr>
          <w:color w:val="222222"/>
          <w:sz w:val="21"/>
          <w:szCs w:val="21"/>
        </w:rPr>
        <w:t xml:space="preserve">Restore the system and data from the backup source (AST-009) into the recovery environment (AST-010). (Evidence required: restore logs.)</w:t>
      </w:r>
    </w:p>
    <w:p>
      <w:pPr>
        <w:spacing w:after="60" w:line="276"/>
        <w:ind w:left="360" w:hanging="360"/>
      </w:pPr>
      <w:r>
        <w:rPr>
          <w:b/>
          <w:bCs/>
          <w:color w:val="222222"/>
          <w:sz w:val="21"/>
          <w:szCs w:val="21"/>
        </w:rPr>
        <w:t xml:space="preserve">4.  </w:t>
      </w:r>
      <w:r>
        <w:rPr>
          <w:color w:val="222222"/>
          <w:sz w:val="21"/>
          <w:szCs w:val="21"/>
        </w:rPr>
        <w:t xml:space="preserve">Validate restored data and bring up the critical service in the recovery environment (failover). (Evidence required.)</w:t>
      </w:r>
    </w:p>
    <w:p>
      <w:pPr>
        <w:spacing w:after="60" w:line="276"/>
        <w:ind w:left="360" w:hanging="360"/>
      </w:pPr>
      <w:r>
        <w:rPr>
          <w:b/>
          <w:bCs/>
          <w:color w:val="222222"/>
          <w:sz w:val="21"/>
          <w:szCs w:val="21"/>
        </w:rPr>
        <w:t xml:space="preserve">5.  </w:t>
      </w:r>
      <w:r>
        <w:rPr>
          <w:color w:val="222222"/>
          <w:sz w:val="21"/>
          <w:szCs w:val="21"/>
        </w:rPr>
        <w:t xml:space="preserve">Assess recovery time and recovery point for the scenario against acceptable expectations. (Evidence required: RTO / RPO measurements.)</w:t>
      </w:r>
    </w:p>
    <w:p>
      <w:pPr>
        <w:spacing w:after="60" w:line="276"/>
        <w:ind w:left="360" w:hanging="360"/>
      </w:pPr>
      <w:r>
        <w:rPr>
          <w:b/>
          <w:bCs/>
          <w:color w:val="222222"/>
          <w:sz w:val="21"/>
          <w:szCs w:val="21"/>
        </w:rPr>
        <w:t xml:space="preserve">6.  </w:t>
      </w:r>
      <w:r>
        <w:rPr>
          <w:color w:val="222222"/>
          <w:sz w:val="21"/>
          <w:szCs w:val="21"/>
        </w:rPr>
        <w:t xml:space="preserve">Document the test, retain results, and disposition any process-improvement observation.</w:t>
      </w:r>
    </w:p>
    <w:p>
      <w:pPr>
        <w:spacing w:after="60" w:line="276"/>
        <w:ind w:left="360" w:hanging="360"/>
      </w:pPr>
      <w:r>
        <w:rPr>
          <w:b/>
          <w:bCs/>
          <w:color w:val="222222"/>
          <w:sz w:val="21"/>
          <w:szCs w:val="21"/>
        </w:rPr>
        <w:t xml:space="preserve">7.  </w:t>
      </w:r>
      <w:r>
        <w:rPr>
          <w:color w:val="222222"/>
          <w:sz w:val="21"/>
          <w:szCs w:val="21"/>
        </w:rPr>
        <w:t xml:space="preserve">Determine the operating effectiveness of the control for the assessment period.</w:t>
      </w:r>
    </w:p>
    <w:p>
      <w:pPr>
        <w:pStyle w:val="Heading1"/>
        <w:pBdr>
          <w:bottom w:val="single" w:color="B4BED4" w:sz="6" w:space="3"/>
        </w:pBdr>
      </w:pPr>
      <w:r>
        <w:t xml:space="preserve">7. Roles &amp; Responsibilities</w:t>
      </w:r>
    </w:p>
    <w:p>
      <w:pPr>
        <w:spacing w:after="120" w:before="0" w:line="276"/>
        <w:jc w:val="left"/>
      </w:pPr>
      <w:r>
        <w:rPr>
          <w:color w:val="222222"/>
          <w:sz w:val="21"/>
          <w:szCs w:val="21"/>
        </w:rPr>
        <w:t xml:space="preserve">The following RACI is portfolio-developed and reflects the simulated governance structure for this control, including the split ownership of the protected system, backup, and recovery environment. Team names are drawn from the source register.</w:t>
      </w:r>
    </w:p>
    <w:p>
      <w:pPr>
        <w:spacing w:after="80" w:before="0" w:line="276"/>
        <w:jc w:val="left"/>
      </w:pPr>
      <w:r>
        <w:rPr>
          <w:b/>
          <w:bCs/>
          <w:color w:val="222222"/>
          <w:sz w:val="21"/>
          <w:szCs w:val="21"/>
        </w:rPr>
        <w:t xml:space="preserve">Legend: </w:t>
      </w:r>
      <w:r>
        <w:rPr>
          <w:color w:val="222222"/>
          <w:sz w:val="18"/>
          <w:szCs w:val="18"/>
        </w:rPr>
        <w:t xml:space="preserve">R = Responsible  •  A = Accountable  •  C = Consulted  •  I = Informed</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780"/>
        <w:gridCol w:w="1650"/>
        <w:gridCol w:w="1500"/>
        <w:gridCol w:w="1650"/>
        <w:gridCol w:w="1500"/>
      </w:tblGrid>
      <w:tr>
        <w:trPr>
          <w:cantSplit/>
          <w:tblHeader/>
        </w:trPr>
        <w:tc>
          <w:tcPr>
            <w:tcW w:type="dxa" w:w="378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Activity</w:t>
            </w:r>
          </w:p>
        </w:tc>
        <w:tc>
          <w:tcPr>
            <w:tcW w:type="dxa" w:w="1650"/>
            <w:shd w:fill="1F3864" w:color="auto" w:val="clear"/>
            <w:tcMar>
              <w:top w:type="dxa" w:w="50"/>
              <w:left w:type="dxa" w:w="90"/>
              <w:bottom w:type="dxa" w:w="50"/>
              <w:right w:type="dxa" w:w="90"/>
            </w:tcMar>
            <w:vAlign w:val="center"/>
          </w:tcPr>
          <w:p>
            <w:pPr>
              <w:spacing w:after="0"/>
              <w:jc w:val="center"/>
            </w:pPr>
            <w:r>
              <w:rPr>
                <w:b/>
                <w:bCs/>
                <w:color w:val="FFFFFF"/>
                <w:sz w:val="16"/>
                <w:szCs w:val="16"/>
              </w:rPr>
              <w:t xml:space="preserve">Infra Operations</w:t>
            </w:r>
          </w:p>
        </w:tc>
        <w:tc>
          <w:tcPr>
            <w:tcW w:type="dxa" w:w="1500"/>
            <w:shd w:fill="1F3864" w:color="auto" w:val="clear"/>
            <w:tcMar>
              <w:top w:type="dxa" w:w="50"/>
              <w:left w:type="dxa" w:w="90"/>
              <w:bottom w:type="dxa" w:w="50"/>
              <w:right w:type="dxa" w:w="90"/>
            </w:tcMar>
            <w:vAlign w:val="center"/>
          </w:tcPr>
          <w:p>
            <w:pPr>
              <w:spacing w:after="0"/>
              <w:jc w:val="center"/>
            </w:pPr>
            <w:r>
              <w:rPr>
                <w:b/>
                <w:bCs/>
                <w:color w:val="FFFFFF"/>
                <w:sz w:val="16"/>
                <w:szCs w:val="16"/>
              </w:rPr>
              <w:t xml:space="preserve">Cloud Ops (DR)</w:t>
            </w:r>
          </w:p>
        </w:tc>
        <w:tc>
          <w:tcPr>
            <w:tcW w:type="dxa" w:w="1650"/>
            <w:shd w:fill="1F3864" w:color="auto" w:val="clear"/>
            <w:tcMar>
              <w:top w:type="dxa" w:w="50"/>
              <w:left w:type="dxa" w:w="90"/>
              <w:bottom w:type="dxa" w:w="50"/>
              <w:right w:type="dxa" w:w="90"/>
            </w:tcMar>
            <w:vAlign w:val="center"/>
          </w:tcPr>
          <w:p>
            <w:pPr>
              <w:spacing w:after="0"/>
              <w:jc w:val="center"/>
            </w:pPr>
            <w:r>
              <w:rPr>
                <w:b/>
                <w:bCs/>
                <w:color w:val="FFFFFF"/>
                <w:sz w:val="16"/>
                <w:szCs w:val="16"/>
              </w:rPr>
              <w:t xml:space="preserve">Backup &amp; System Owners</w:t>
            </w:r>
          </w:p>
        </w:tc>
        <w:tc>
          <w:tcPr>
            <w:tcW w:type="dxa" w:w="1500"/>
            <w:shd w:fill="1F3864" w:color="auto" w:val="clear"/>
            <w:tcMar>
              <w:top w:type="dxa" w:w="50"/>
              <w:left w:type="dxa" w:w="90"/>
              <w:bottom w:type="dxa" w:w="50"/>
              <w:right w:type="dxa" w:w="90"/>
            </w:tcMar>
            <w:vAlign w:val="center"/>
          </w:tcPr>
          <w:p>
            <w:pPr>
              <w:spacing w:after="0"/>
              <w:jc w:val="center"/>
            </w:pPr>
            <w:r>
              <w:rPr>
                <w:b/>
                <w:bCs/>
                <w:color w:val="FFFFFF"/>
                <w:sz w:val="16"/>
                <w:szCs w:val="16"/>
              </w:rPr>
              <w:t xml:space="preserve">GRC Team</w:t>
            </w:r>
          </w:p>
        </w:tc>
      </w:tr>
      <w:tr>
        <w:trPr>
          <w:cantSplit/>
        </w:trPr>
        <w:tc>
          <w:tcPr>
            <w:tcW w:type="dxa" w:w="378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Define &amp; maintain backup / recovery procedures &amp; DR runbook</w:t>
            </w:r>
          </w:p>
        </w:tc>
        <w:tc>
          <w:tcPr>
            <w:tcW w:type="dxa" w:w="1650"/>
            <w:tcMar>
              <w:top w:type="dxa" w:w="50"/>
              <w:left w:type="dxa" w:w="90"/>
              <w:bottom w:type="dxa" w:w="50"/>
              <w:right w:type="dxa" w:w="90"/>
            </w:tcMar>
            <w:vAlign w:val="top"/>
          </w:tcPr>
          <w:p>
            <w:pPr>
              <w:spacing w:after="0" w:line="264"/>
              <w:jc w:val="center"/>
            </w:pPr>
            <w:r>
              <w:rPr>
                <w:b/>
                <w:bCs/>
                <w:i w:val="false"/>
                <w:iCs w:val="false"/>
                <w:color w:val="222222"/>
                <w:sz w:val="16"/>
                <w:szCs w:val="16"/>
              </w:rPr>
              <w:t xml:space="preserve">A, R</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C</w:t>
            </w:r>
          </w:p>
        </w:tc>
        <w:tc>
          <w:tcPr>
            <w:tcW w:type="dxa" w:w="165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C</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C</w:t>
            </w:r>
          </w:p>
        </w:tc>
      </w:tr>
      <w:tr>
        <w:trPr>
          <w:cantSplit/>
        </w:trPr>
        <w:tc>
          <w:tcPr>
            <w:tcW w:type="dxa" w:w="37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Perform scheduled backups of the critical system</w:t>
            </w:r>
          </w:p>
        </w:tc>
        <w:tc>
          <w:tcPr>
            <w:tcW w:type="dxa" w:w="1650"/>
            <w:shd w:fill="F2F5FA" w:color="auto" w:val="clear"/>
            <w:tcMar>
              <w:top w:type="dxa" w:w="50"/>
              <w:left w:type="dxa" w:w="90"/>
              <w:bottom w:type="dxa" w:w="50"/>
              <w:right w:type="dxa" w:w="90"/>
            </w:tcMar>
            <w:vAlign w:val="top"/>
          </w:tcPr>
          <w:p>
            <w:pPr>
              <w:spacing w:after="0" w:line="264"/>
              <w:jc w:val="center"/>
            </w:pPr>
            <w:r>
              <w:rPr>
                <w:b/>
                <w:bCs/>
                <w:i w:val="false"/>
                <w:iCs w:val="false"/>
                <w:color w:val="222222"/>
                <w:sz w:val="16"/>
                <w:szCs w:val="16"/>
              </w:rPr>
              <w:t xml:space="preserve">A, R</w:t>
            </w:r>
          </w:p>
        </w:tc>
        <w:tc>
          <w:tcPr>
            <w:tcW w:type="dxa" w:w="150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C</w:t>
            </w:r>
          </w:p>
        </w:tc>
        <w:tc>
          <w:tcPr>
            <w:tcW w:type="dxa" w:w="165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R</w:t>
            </w:r>
          </w:p>
        </w:tc>
        <w:tc>
          <w:tcPr>
            <w:tcW w:type="dxa" w:w="150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I</w:t>
            </w:r>
          </w:p>
        </w:tc>
      </w:tr>
      <w:tr>
        <w:trPr>
          <w:cantSplit/>
        </w:trPr>
        <w:tc>
          <w:tcPr>
            <w:tcW w:type="dxa" w:w="378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Maintain backup integrity, rotation &amp; retention</w:t>
            </w:r>
          </w:p>
        </w:tc>
        <w:tc>
          <w:tcPr>
            <w:tcW w:type="dxa" w:w="1650"/>
            <w:tcMar>
              <w:top w:type="dxa" w:w="50"/>
              <w:left w:type="dxa" w:w="90"/>
              <w:bottom w:type="dxa" w:w="50"/>
              <w:right w:type="dxa" w:w="90"/>
            </w:tcMar>
            <w:vAlign w:val="top"/>
          </w:tcPr>
          <w:p>
            <w:pPr>
              <w:spacing w:after="0" w:line="264"/>
              <w:jc w:val="center"/>
            </w:pPr>
            <w:r>
              <w:rPr>
                <w:b/>
                <w:bCs/>
                <w:i w:val="false"/>
                <w:iCs w:val="false"/>
                <w:color w:val="222222"/>
                <w:sz w:val="16"/>
                <w:szCs w:val="16"/>
              </w:rPr>
              <w:t xml:space="preserve">A, R</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C</w:t>
            </w:r>
          </w:p>
        </w:tc>
        <w:tc>
          <w:tcPr>
            <w:tcW w:type="dxa" w:w="165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R</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I</w:t>
            </w:r>
          </w:p>
        </w:tc>
      </w:tr>
      <w:tr>
        <w:trPr>
          <w:cantSplit/>
        </w:trPr>
        <w:tc>
          <w:tcPr>
            <w:tcW w:type="dxa" w:w="37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Provide &amp; operate the recovery (DR) environment</w:t>
            </w:r>
          </w:p>
        </w:tc>
        <w:tc>
          <w:tcPr>
            <w:tcW w:type="dxa" w:w="165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C</w:t>
            </w:r>
          </w:p>
        </w:tc>
        <w:tc>
          <w:tcPr>
            <w:tcW w:type="dxa" w:w="1500"/>
            <w:shd w:fill="F2F5FA" w:color="auto" w:val="clear"/>
            <w:tcMar>
              <w:top w:type="dxa" w:w="50"/>
              <w:left w:type="dxa" w:w="90"/>
              <w:bottom w:type="dxa" w:w="50"/>
              <w:right w:type="dxa" w:w="90"/>
            </w:tcMar>
            <w:vAlign w:val="top"/>
          </w:tcPr>
          <w:p>
            <w:pPr>
              <w:spacing w:after="0" w:line="264"/>
              <w:jc w:val="center"/>
            </w:pPr>
            <w:r>
              <w:rPr>
                <w:b/>
                <w:bCs/>
                <w:i w:val="false"/>
                <w:iCs w:val="false"/>
                <w:color w:val="222222"/>
                <w:sz w:val="16"/>
                <w:szCs w:val="16"/>
              </w:rPr>
              <w:t xml:space="preserve">A, R</w:t>
            </w:r>
          </w:p>
        </w:tc>
        <w:tc>
          <w:tcPr>
            <w:tcW w:type="dxa" w:w="165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I</w:t>
            </w:r>
          </w:p>
        </w:tc>
        <w:tc>
          <w:tcPr>
            <w:tcW w:type="dxa" w:w="150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I</w:t>
            </w:r>
          </w:p>
        </w:tc>
      </w:tr>
      <w:tr>
        <w:trPr>
          <w:cantSplit/>
        </w:trPr>
        <w:tc>
          <w:tcPr>
            <w:tcW w:type="dxa" w:w="378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Execute the quarterly recovery test</w:t>
            </w:r>
          </w:p>
        </w:tc>
        <w:tc>
          <w:tcPr>
            <w:tcW w:type="dxa" w:w="1650"/>
            <w:tcMar>
              <w:top w:type="dxa" w:w="50"/>
              <w:left w:type="dxa" w:w="90"/>
              <w:bottom w:type="dxa" w:w="50"/>
              <w:right w:type="dxa" w:w="90"/>
            </w:tcMar>
            <w:vAlign w:val="top"/>
          </w:tcPr>
          <w:p>
            <w:pPr>
              <w:spacing w:after="0" w:line="264"/>
              <w:jc w:val="center"/>
            </w:pPr>
            <w:r>
              <w:rPr>
                <w:b/>
                <w:bCs/>
                <w:i w:val="false"/>
                <w:iCs w:val="false"/>
                <w:color w:val="222222"/>
                <w:sz w:val="16"/>
                <w:szCs w:val="16"/>
              </w:rPr>
              <w:t xml:space="preserve">A, R</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R</w:t>
            </w:r>
          </w:p>
        </w:tc>
        <w:tc>
          <w:tcPr>
            <w:tcW w:type="dxa" w:w="165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C</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I</w:t>
            </w:r>
          </w:p>
        </w:tc>
      </w:tr>
      <w:tr>
        <w:trPr>
          <w:cantSplit/>
        </w:trPr>
        <w:tc>
          <w:tcPr>
            <w:tcW w:type="dxa" w:w="37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Validate restored data &amp; service recovery</w:t>
            </w:r>
          </w:p>
        </w:tc>
        <w:tc>
          <w:tcPr>
            <w:tcW w:type="dxa" w:w="165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C</w:t>
            </w:r>
          </w:p>
        </w:tc>
        <w:tc>
          <w:tcPr>
            <w:tcW w:type="dxa" w:w="150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R</w:t>
            </w:r>
          </w:p>
        </w:tc>
        <w:tc>
          <w:tcPr>
            <w:tcW w:type="dxa" w:w="1650"/>
            <w:shd w:fill="F2F5FA" w:color="auto" w:val="clear"/>
            <w:tcMar>
              <w:top w:type="dxa" w:w="50"/>
              <w:left w:type="dxa" w:w="90"/>
              <w:bottom w:type="dxa" w:w="50"/>
              <w:right w:type="dxa" w:w="90"/>
            </w:tcMar>
            <w:vAlign w:val="top"/>
          </w:tcPr>
          <w:p>
            <w:pPr>
              <w:spacing w:after="0" w:line="264"/>
              <w:jc w:val="center"/>
            </w:pPr>
            <w:r>
              <w:rPr>
                <w:b/>
                <w:bCs/>
                <w:i w:val="false"/>
                <w:iCs w:val="false"/>
                <w:color w:val="222222"/>
                <w:sz w:val="16"/>
                <w:szCs w:val="16"/>
              </w:rPr>
              <w:t xml:space="preserve">A</w:t>
            </w:r>
          </w:p>
        </w:tc>
        <w:tc>
          <w:tcPr>
            <w:tcW w:type="dxa" w:w="150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I</w:t>
            </w:r>
          </w:p>
        </w:tc>
      </w:tr>
      <w:tr>
        <w:trPr>
          <w:cantSplit/>
        </w:trPr>
        <w:tc>
          <w:tcPr>
            <w:tcW w:type="dxa" w:w="378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Independent assessment &amp; effectiveness reporting</w:t>
            </w:r>
          </w:p>
        </w:tc>
        <w:tc>
          <w:tcPr>
            <w:tcW w:type="dxa" w:w="165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C</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I</w:t>
            </w:r>
          </w:p>
        </w:tc>
        <w:tc>
          <w:tcPr>
            <w:tcW w:type="dxa" w:w="165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I</w:t>
            </w:r>
          </w:p>
        </w:tc>
        <w:tc>
          <w:tcPr>
            <w:tcW w:type="dxa" w:w="1500"/>
            <w:tcMar>
              <w:top w:type="dxa" w:w="50"/>
              <w:left w:type="dxa" w:w="90"/>
              <w:bottom w:type="dxa" w:w="50"/>
              <w:right w:type="dxa" w:w="90"/>
            </w:tcMar>
            <w:vAlign w:val="top"/>
          </w:tcPr>
          <w:p>
            <w:pPr>
              <w:spacing w:after="0" w:line="264"/>
              <w:jc w:val="center"/>
            </w:pPr>
            <w:r>
              <w:rPr>
                <w:b/>
                <w:bCs/>
                <w:i w:val="false"/>
                <w:iCs w:val="false"/>
                <w:color w:val="222222"/>
                <w:sz w:val="16"/>
                <w:szCs w:val="16"/>
              </w:rPr>
              <w:t xml:space="preserve">A, R</w:t>
            </w:r>
          </w:p>
        </w:tc>
      </w:tr>
    </w:tbl>
    <w:p>
      <w:pPr>
        <w:spacing w:after="120" w:before="60" w:line="276"/>
        <w:jc w:val="left"/>
      </w:pPr>
      <w:r>
        <w:rPr>
          <w:i/>
          <w:iCs/>
          <w:color w:val="7F7F7F"/>
          <w:sz w:val="18"/>
          <w:szCs w:val="18"/>
        </w:rPr>
        <w:t xml:space="preserve">Backup &amp; System Owners = Data Protection Team (AST-009 backup) and Clinical AI &amp; Machine Learning Team (AST-001 protected system); Cloud Ops = Cloud Operations Team (AST-010). Roles are illustrative for the simulated scenario.</w:t>
      </w:r>
    </w:p>
    <w:p>
      <w:pPr>
        <w:pStyle w:val="Heading1"/>
        <w:pBdr>
          <w:bottom w:val="single" w:color="B4BED4" w:sz="6" w:space="3"/>
        </w:pBdr>
      </w:pPr>
      <w:r>
        <w:t xml:space="preserve">8. Backup &amp; Recovery Test — Attributes &amp; Simulated Results</w:t>
      </w:r>
    </w:p>
    <w:p>
      <w:pPr>
        <w:spacing w:after="120" w:before="0" w:line="276"/>
        <w:jc w:val="left"/>
      </w:pPr>
      <w:r>
        <w:rPr>
          <w:color w:val="222222"/>
          <w:sz w:val="21"/>
          <w:szCs w:val="21"/>
        </w:rPr>
        <w:t xml:space="preserve">The test was represented against the attributes below. Results are qualitative and reflect a successful quarterly test as represented in the simulated scenario; they do not reflect an actual backup job, restore, or failover, and no such operation was performed.</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80"/>
        <w:gridCol w:w="2300"/>
        <w:gridCol w:w="4600"/>
        <w:gridCol w:w="2700"/>
      </w:tblGrid>
      <w:tr>
        <w:trPr>
          <w:cantSplit/>
          <w:tblHeader/>
        </w:trPr>
        <w:tc>
          <w:tcPr>
            <w:tcW w:type="dxa" w:w="480"/>
            <w:shd w:fill="1F3864" w:color="auto" w:val="clear"/>
            <w:tcMar>
              <w:top w:type="dxa" w:w="50"/>
              <w:left w:type="dxa" w:w="90"/>
              <w:bottom w:type="dxa" w:w="50"/>
              <w:right w:type="dxa" w:w="90"/>
            </w:tcMar>
            <w:vAlign w:val="center"/>
          </w:tcPr>
          <w:p>
            <w:pPr>
              <w:spacing w:after="0"/>
              <w:jc w:val="center"/>
            </w:pPr>
            <w:r>
              <w:rPr>
                <w:b/>
                <w:bCs/>
                <w:color w:val="FFFFFF"/>
                <w:sz w:val="16"/>
                <w:szCs w:val="16"/>
              </w:rPr>
              <w:t xml:space="preserve">#</w:t>
            </w:r>
          </w:p>
        </w:tc>
        <w:tc>
          <w:tcPr>
            <w:tcW w:type="dxa" w:w="23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Test Attribute</w:t>
            </w:r>
          </w:p>
        </w:tc>
        <w:tc>
          <w:tcPr>
            <w:tcW w:type="dxa" w:w="46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Test Objective / Expected State</w:t>
            </w:r>
          </w:p>
        </w:tc>
        <w:tc>
          <w:tcPr>
            <w:tcW w:type="dxa" w:w="27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Simulated Result</w:t>
            </w:r>
          </w:p>
        </w:tc>
      </w:tr>
      <w:tr>
        <w:trPr>
          <w:cantSplit/>
        </w:trPr>
        <w:tc>
          <w:tcPr>
            <w:tcW w:type="dxa" w:w="48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1</w:t>
            </w:r>
          </w:p>
        </w:tc>
        <w:tc>
          <w:tcPr>
            <w:tcW w:type="dxa" w:w="23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Backup completion</w:t>
            </w:r>
          </w:p>
        </w:tc>
        <w:tc>
          <w:tcPr>
            <w:tcW w:type="dxa" w:w="46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Scheduled backups of the in-scope critical production AI system complete per the defined schedule.</w:t>
            </w:r>
          </w:p>
        </w:tc>
        <w:tc>
          <w:tcPr>
            <w:tcW w:type="dxa" w:w="27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Passed (Simulated)</w:t>
            </w:r>
          </w:p>
        </w:tc>
      </w:tr>
      <w:tr>
        <w:trPr>
          <w:cantSplit/>
        </w:trPr>
        <w:tc>
          <w:tcPr>
            <w:tcW w:type="dxa" w:w="48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2</w:t>
            </w:r>
          </w:p>
        </w:tc>
        <w:tc>
          <w:tcPr>
            <w:tcW w:type="dxa" w:w="23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Backup integrity</w:t>
            </w:r>
          </w:p>
        </w:tc>
        <w:tc>
          <w:tcPr>
            <w:tcW w:type="dxa" w:w="46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Backup integrity is verified (e.g., checksum / validation) after completion.</w:t>
            </w:r>
          </w:p>
        </w:tc>
        <w:tc>
          <w:tcPr>
            <w:tcW w:type="dxa" w:w="27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Passed (Simulated)</w:t>
            </w:r>
          </w:p>
        </w:tc>
      </w:tr>
      <w:tr>
        <w:trPr>
          <w:cantSplit/>
        </w:trPr>
        <w:tc>
          <w:tcPr>
            <w:tcW w:type="dxa" w:w="48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3</w:t>
            </w:r>
          </w:p>
        </w:tc>
        <w:tc>
          <w:tcPr>
            <w:tcW w:type="dxa" w:w="23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Backup coverage</w:t>
            </w:r>
          </w:p>
        </w:tc>
        <w:tc>
          <w:tcPr>
            <w:tcW w:type="dxa" w:w="46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The critical system’s data and configuration are within the defined backup scope.</w:t>
            </w:r>
          </w:p>
        </w:tc>
        <w:tc>
          <w:tcPr>
            <w:tcW w:type="dxa" w:w="27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Passed (Simulated)</w:t>
            </w:r>
          </w:p>
        </w:tc>
      </w:tr>
      <w:tr>
        <w:trPr>
          <w:cantSplit/>
        </w:trPr>
        <w:tc>
          <w:tcPr>
            <w:tcW w:type="dxa" w:w="48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4</w:t>
            </w:r>
          </w:p>
        </w:tc>
        <w:tc>
          <w:tcPr>
            <w:tcW w:type="dxa" w:w="23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Restore from backup</w:t>
            </w:r>
          </w:p>
        </w:tc>
        <w:tc>
          <w:tcPr>
            <w:tcW w:type="dxa" w:w="46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Data and system are restored from the backup source (AST-009) into the recovery environment (AST-010).</w:t>
            </w:r>
          </w:p>
        </w:tc>
        <w:tc>
          <w:tcPr>
            <w:tcW w:type="dxa" w:w="27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Passed (Simulated)</w:t>
            </w:r>
          </w:p>
        </w:tc>
      </w:tr>
      <w:tr>
        <w:trPr>
          <w:cantSplit/>
        </w:trPr>
        <w:tc>
          <w:tcPr>
            <w:tcW w:type="dxa" w:w="48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5</w:t>
            </w:r>
          </w:p>
        </w:tc>
        <w:tc>
          <w:tcPr>
            <w:tcW w:type="dxa" w:w="23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Post-restore data validation</w:t>
            </w:r>
          </w:p>
        </w:tc>
        <w:tc>
          <w:tcPr>
            <w:tcW w:type="dxa" w:w="46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Restored data is validated for completeness and usability.</w:t>
            </w:r>
          </w:p>
        </w:tc>
        <w:tc>
          <w:tcPr>
            <w:tcW w:type="dxa" w:w="27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Passed (Simulated)</w:t>
            </w:r>
          </w:p>
        </w:tc>
      </w:tr>
      <w:tr>
        <w:trPr>
          <w:cantSplit/>
        </w:trPr>
        <w:tc>
          <w:tcPr>
            <w:tcW w:type="dxa" w:w="48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6</w:t>
            </w:r>
          </w:p>
        </w:tc>
        <w:tc>
          <w:tcPr>
            <w:tcW w:type="dxa" w:w="23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Service recovery / failover</w:t>
            </w:r>
          </w:p>
        </w:tc>
        <w:tc>
          <w:tcPr>
            <w:tcW w:type="dxa" w:w="46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The critical service is brought up and reachable in the recovery environment.</w:t>
            </w:r>
          </w:p>
        </w:tc>
        <w:tc>
          <w:tcPr>
            <w:tcW w:type="dxa" w:w="27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Passed (Simulated)</w:t>
            </w:r>
          </w:p>
        </w:tc>
      </w:tr>
      <w:tr>
        <w:trPr>
          <w:cantSplit/>
        </w:trPr>
        <w:tc>
          <w:tcPr>
            <w:tcW w:type="dxa" w:w="48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7</w:t>
            </w:r>
          </w:p>
        </w:tc>
        <w:tc>
          <w:tcPr>
            <w:tcW w:type="dxa" w:w="23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Recovery time / recovery point</w:t>
            </w:r>
          </w:p>
        </w:tc>
        <w:tc>
          <w:tcPr>
            <w:tcW w:type="dxa" w:w="46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Recovery completes within acceptable recovery-time and recovery-point expectations for the scenario (see OBS-01, a record-design enhancement — not a test exception).</w:t>
            </w:r>
          </w:p>
        </w:tc>
        <w:tc>
          <w:tcPr>
            <w:tcW w:type="dxa" w:w="27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Passed (Simulated)</w:t>
            </w:r>
          </w:p>
        </w:tc>
      </w:tr>
      <w:tr>
        <w:trPr>
          <w:cantSplit/>
        </w:trPr>
        <w:tc>
          <w:tcPr>
            <w:tcW w:type="dxa" w:w="48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8</w:t>
            </w:r>
          </w:p>
        </w:tc>
        <w:tc>
          <w:tcPr>
            <w:tcW w:type="dxa" w:w="23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Test documentation &amp; retention</w:t>
            </w:r>
          </w:p>
        </w:tc>
        <w:tc>
          <w:tcPr>
            <w:tcW w:type="dxa" w:w="46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The test is performed, documented, and results retained per policy.</w:t>
            </w:r>
          </w:p>
        </w:tc>
        <w:tc>
          <w:tcPr>
            <w:tcW w:type="dxa" w:w="27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Passed (Simulated)</w:t>
            </w:r>
          </w:p>
        </w:tc>
      </w:tr>
    </w:tbl>
    <w:p>
      <w:pPr>
        <w:spacing w:after="120" w:before="60" w:line="276"/>
        <w:jc w:val="left"/>
      </w:pPr>
      <w:r>
        <w:rPr>
          <w:i/>
          <w:iCs/>
          <w:color w:val="7F7F7F"/>
          <w:sz w:val="18"/>
          <w:szCs w:val="18"/>
        </w:rPr>
        <w:t xml:space="preserve">Attributes and simulated results are portfolio-developed to illustrate a successful quarterly backup-and-recovery test. “Passed (Simulated)” represents an attribute represented as satisfied within the scenario; it does not reflect an actual backup job, restore, or failover. Supporting evidence for each attribute is listed in Section 12 as Evidence Required — Not Provided.</w:t>
      </w:r>
    </w:p>
    <w:p>
      <w:pPr>
        <w:pStyle w:val="Heading1"/>
        <w:pBdr>
          <w:bottom w:val="single" w:color="B4BED4" w:sz="6" w:space="3"/>
        </w:pBdr>
      </w:pPr>
      <w:r>
        <w:t xml:space="preserve">9. Test Summary (Simulated)</w:t>
      </w:r>
    </w:p>
    <w:p>
      <w:pPr>
        <w:spacing w:after="120" w:before="0" w:line="276"/>
        <w:jc w:val="left"/>
      </w:pPr>
      <w:r>
        <w:rPr>
          <w:b/>
          <w:bCs/>
          <w:color w:val="222222"/>
          <w:sz w:val="21"/>
          <w:szCs w:val="21"/>
        </w:rPr>
        <w:t xml:space="preserve">Test Summary (Simulated): </w:t>
      </w:r>
      <w:r>
        <w:rPr>
          <w:color w:val="222222"/>
          <w:sz w:val="21"/>
          <w:szCs w:val="21"/>
        </w:rPr>
        <w:t xml:space="preserve">All eight test attributes are represented as passed within the simulated scenario — backups complete and are verified, the critical system is restored from backup into the recovery environment, restored data and the service are validated, and the test is documented and retained. One process-improvement observation (OBS-01) recommends a record-design enhancement for capturing RTO / RPO targets and actual results; it is not a test exception and does not affect the Effective rating. The results are illustrative and reflect the scenario, not an actual recovery test.</w:t>
      </w:r>
    </w:p>
    <w:p>
      <w:pPr>
        <w:pStyle w:val="Heading1"/>
        <w:pBdr>
          <w:bottom w:val="single" w:color="B4BED4" w:sz="6" w:space="3"/>
        </w:pBdr>
      </w:pPr>
      <w:r>
        <w:t xml:space="preserve">10. Process-Improvement Observation</w:t>
      </w:r>
    </w:p>
    <w:p>
      <w:pPr>
        <w:spacing w:after="120" w:before="0" w:line="276"/>
        <w:jc w:val="left"/>
      </w:pPr>
      <w:r>
        <w:rPr>
          <w:color w:val="222222"/>
          <w:sz w:val="21"/>
          <w:szCs w:val="21"/>
        </w:rPr>
        <w:t xml:space="preserve">The following observation is a process-improvement opportunity concerning the design of this test record. It is not a control exception, a finding, or a test failure, and it does not change the Effective rating recorded in the Control Register.</w:t>
      </w:r>
    </w:p>
    <w:p>
      <w:pPr>
        <w:spacing w:after="60" w:before="40" w:line="276"/>
        <w:jc w:val="left"/>
      </w:pPr>
      <w:r>
        <w:rPr>
          <w:b/>
          <w:bCs/>
          <w:color w:val="2F5496"/>
          <w:sz w:val="21"/>
          <w:szCs w:val="21"/>
        </w:rPr>
        <w:t xml:space="preserve">OBS-01 — RTO/RPO Metrics Documentation (Low / Process-Improvement Observation)</w:t>
      </w:r>
    </w:p>
    <w:p>
      <w:pPr>
        <w:spacing w:after="120" w:before="0" w:line="276"/>
        <w:jc w:val="left"/>
      </w:pPr>
      <w:r>
        <w:rPr>
          <w:b/>
          <w:bCs/>
          <w:color w:val="222222"/>
          <w:sz w:val="21"/>
          <w:szCs w:val="21"/>
        </w:rPr>
        <w:t xml:space="preserve">Condition: </w:t>
      </w:r>
      <w:r>
        <w:rPr>
          <w:color w:val="222222"/>
          <w:sz w:val="21"/>
          <w:szCs w:val="21"/>
        </w:rPr>
        <w:t xml:space="preserve">Within the simulated test scenario, recovery testing is represented as successfully completed; however, the test-record design does not include a standardized field for documenting formally approved RTO / RPO targets alongside measured recovery outcomes.</w:t>
      </w:r>
    </w:p>
    <w:p>
      <w:pPr>
        <w:spacing w:after="120" w:before="0" w:line="276"/>
        <w:jc w:val="left"/>
      </w:pPr>
      <w:r>
        <w:rPr>
          <w:b/>
          <w:bCs/>
          <w:color w:val="222222"/>
          <w:sz w:val="21"/>
          <w:szCs w:val="21"/>
        </w:rPr>
        <w:t xml:space="preserve">Risk / Impact: </w:t>
      </w:r>
      <w:r>
        <w:rPr>
          <w:color w:val="222222"/>
          <w:sz w:val="21"/>
          <w:szCs w:val="21"/>
        </w:rPr>
        <w:t xml:space="preserve">Low. Without standardized target-and-actual fields, repeatability, trend analysis, and management reporting across quarterly recovery tests are weaker; the operation of the control is not impaired.</w:t>
      </w:r>
    </w:p>
    <w:p>
      <w:pPr>
        <w:spacing w:after="120" w:before="0" w:line="276"/>
        <w:jc w:val="left"/>
      </w:pPr>
      <w:r>
        <w:rPr>
          <w:b/>
          <w:bCs/>
          <w:color w:val="222222"/>
          <w:sz w:val="21"/>
          <w:szCs w:val="21"/>
        </w:rPr>
        <w:t xml:space="preserve">Recommendation: </w:t>
      </w:r>
      <w:r>
        <w:rPr>
          <w:color w:val="222222"/>
          <w:sz w:val="21"/>
          <w:szCs w:val="21"/>
        </w:rPr>
        <w:t xml:space="preserve">Add standardized RTO / RPO target and actual-result fields to future quarterly recovery test records to strengthen repeatability, trend analysis, and management reporting.</w:t>
      </w:r>
    </w:p>
    <w:p>
      <w:pPr>
        <w:spacing w:after="120" w:before="0" w:line="276"/>
        <w:jc w:val="left"/>
      </w:pPr>
      <w:r>
        <w:rPr>
          <w:b/>
          <w:bCs/>
          <w:color w:val="222222"/>
          <w:sz w:val="21"/>
          <w:szCs w:val="21"/>
        </w:rPr>
        <w:t xml:space="preserve">Owner: </w:t>
      </w:r>
      <w:r>
        <w:rPr>
          <w:color w:val="222222"/>
          <w:sz w:val="21"/>
          <w:szCs w:val="21"/>
        </w:rPr>
        <w:t xml:space="preserve">Infrastructure Operations Team.   </w:t>
      </w:r>
      <w:r>
        <w:rPr>
          <w:b/>
          <w:bCs/>
          <w:color w:val="222222"/>
          <w:sz w:val="21"/>
          <w:szCs w:val="21"/>
        </w:rPr>
        <w:t xml:space="preserve">Status: </w:t>
      </w:r>
      <w:r>
        <w:rPr>
          <w:color w:val="222222"/>
          <w:sz w:val="21"/>
          <w:szCs w:val="21"/>
        </w:rPr>
        <w:t xml:space="preserve">Open (Simulated).</w:t>
      </w:r>
    </w:p>
    <w:p>
      <w:pPr>
        <w:spacing w:after="120" w:before="0" w:line="276"/>
        <w:jc w:val="left"/>
      </w:pPr>
      <w:r>
        <w:rPr>
          <w:b/>
          <w:bCs/>
          <w:color w:val="222222"/>
          <w:sz w:val="21"/>
          <w:szCs w:val="21"/>
        </w:rPr>
        <w:t xml:space="preserve">Target Remediation: </w:t>
      </w:r>
      <w:r>
        <w:rPr>
          <w:color w:val="222222"/>
          <w:sz w:val="21"/>
          <w:szCs w:val="21"/>
        </w:rPr>
        <w:t xml:space="preserve">Q1 2027 (Simulated).   </w:t>
      </w:r>
      <w:r>
        <w:rPr>
          <w:b/>
          <w:bCs/>
          <w:color w:val="222222"/>
          <w:sz w:val="21"/>
          <w:szCs w:val="21"/>
        </w:rPr>
        <w:t xml:space="preserve">Validation: </w:t>
      </w:r>
      <w:r>
        <w:rPr>
          <w:color w:val="222222"/>
          <w:sz w:val="21"/>
          <w:szCs w:val="21"/>
        </w:rPr>
        <w:t xml:space="preserve">Confirm the enhanced RTO / RPO fields are present in the next quarterly recovery test record.</w:t>
      </w:r>
    </w:p>
    <w:p>
      <w:pPr>
        <w:spacing w:after="120" w:before="0" w:line="276"/>
        <w:jc w:val="left"/>
      </w:pPr>
      <w:r>
        <w:rPr>
          <w:b/>
          <w:bCs/>
          <w:color w:val="222222"/>
          <w:sz w:val="21"/>
          <w:szCs w:val="21"/>
        </w:rPr>
        <w:t xml:space="preserve">Effect on Rating: </w:t>
      </w:r>
      <w:r>
        <w:rPr>
          <w:color w:val="222222"/>
          <w:sz w:val="21"/>
          <w:szCs w:val="21"/>
        </w:rPr>
        <w:t xml:space="preserve">None; this is a process-improvement observation and does not affect the Effective rating.</w:t>
      </w:r>
    </w:p>
    <w:p>
      <w:pPr>
        <w:pStyle w:val="Heading1"/>
        <w:pBdr>
          <w:bottom w:val="single" w:color="B4BED4" w:sz="6" w:space="3"/>
        </w:pBdr>
      </w:pPr>
      <w:r>
        <w:t xml:space="preserve">11. Conclusion</w:t>
      </w:r>
    </w:p>
    <w:p>
      <w:pPr>
        <w:spacing w:after="120" w:before="0" w:line="276"/>
        <w:jc w:val="left"/>
      </w:pPr>
      <w:r>
        <w:rPr>
          <w:color w:val="222222"/>
          <w:sz w:val="21"/>
          <w:szCs w:val="21"/>
        </w:rPr>
        <w:t xml:space="preserve">Within this simulated GRC scenario, the documented backup-and-recovery test record is consistent with the Effective rating recorded for CTL-007 in the MindfulAI Labs Control Register. All eight test attributes are represented as passed within the simulated scenario, with a single process-improvement observation (OBS-01) recommending a record-design enhancement for RTO / RPO capture; the observation is not a test exception and does not affect the Effective rating. No actual backup job, restore, or failover was performed; the results are illustrative and do not represent a recovery test performed against an actual system or environment.</w:t>
      </w:r>
    </w:p>
    <w:p>
      <w:pPr>
        <w:spacing w:after="120" w:before="0" w:line="276"/>
        <w:jc w:val="left"/>
      </w:pPr>
      <w:r>
        <w:rPr>
          <w:b/>
          <w:bCs/>
          <w:color w:val="222222"/>
          <w:sz w:val="21"/>
          <w:szCs w:val="21"/>
        </w:rPr>
        <w:t xml:space="preserve">Residual risk. </w:t>
      </w:r>
      <w:r>
        <w:rPr>
          <w:color w:val="222222"/>
          <w:sz w:val="21"/>
          <w:szCs w:val="21"/>
        </w:rPr>
        <w:t xml:space="preserve">The operating control reduces the availability risk represented by RSK-007 (prolonged service disruption due to inadequate recovery testing). RSK-007 remains Open in the register pending real recovery-test evidence; its values are not modified by this record. In a real engagement, the evidence in Section 12 would be required to substantiate an actual operating-effectiveness conclusion, and the control’s quarterly cadence would be validated through ongoing testing.</w:t>
      </w:r>
    </w:p>
    <w:p>
      <w:pPr>
        <w:pStyle w:val="Heading1"/>
        <w:pBdr>
          <w:bottom w:val="single" w:color="B4BED4" w:sz="6" w:space="3"/>
        </w:pBdr>
      </w:pPr>
      <w:r>
        <w:t xml:space="preserve">12. Simulated Evidence Requirements — Not Provided</w:t>
      </w:r>
    </w:p>
    <w:p>
      <w:pPr>
        <w:spacing w:after="120" w:before="0" w:line="276"/>
        <w:jc w:val="left"/>
      </w:pPr>
      <w:r>
        <w:rPr>
          <w:color w:val="222222"/>
          <w:sz w:val="21"/>
          <w:szCs w:val="21"/>
        </w:rPr>
        <w:t xml:space="preserve">In a live engagement, the following evidence would be requested and retained to support the test conclusions. For this simulated artifact, no such evidence has been generated or attached.</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6480"/>
        <w:gridCol w:w="3600"/>
      </w:tblGrid>
      <w:tr>
        <w:trPr>
          <w:cantSplit/>
          <w:tblHeader/>
        </w:trPr>
        <w:tc>
          <w:tcPr>
            <w:tcW w:type="dxa" w:w="6480"/>
            <w:shd w:fill="1F3864" w:color="auto" w:val="clear"/>
            <w:tcMar>
              <w:top w:type="dxa" w:w="50"/>
              <w:left w:type="dxa" w:w="90"/>
              <w:bottom w:type="dxa" w:w="50"/>
              <w:right w:type="dxa" w:w="90"/>
            </w:tcMar>
            <w:vAlign w:val="center"/>
          </w:tcPr>
          <w:p>
            <w:pPr>
              <w:spacing w:after="0"/>
              <w:jc w:val="left"/>
            </w:pPr>
            <w:r>
              <w:rPr>
                <w:b/>
                <w:bCs/>
                <w:color w:val="FFFFFF"/>
                <w:sz w:val="18"/>
                <w:szCs w:val="18"/>
              </w:rPr>
              <w:t xml:space="preserve">Evidence Item</w:t>
            </w:r>
          </w:p>
        </w:tc>
        <w:tc>
          <w:tcPr>
            <w:tcW w:type="dxa" w:w="3600"/>
            <w:shd w:fill="1F3864" w:color="auto" w:val="clear"/>
            <w:tcMar>
              <w:top w:type="dxa" w:w="50"/>
              <w:left w:type="dxa" w:w="90"/>
              <w:bottom w:type="dxa" w:w="50"/>
              <w:right w:type="dxa" w:w="90"/>
            </w:tcMar>
            <w:vAlign w:val="center"/>
          </w:tcPr>
          <w:p>
            <w:pPr>
              <w:spacing w:after="0"/>
              <w:jc w:val="left"/>
            </w:pPr>
            <w:r>
              <w:rPr>
                <w:b/>
                <w:bCs/>
                <w:color w:val="FFFFFF"/>
                <w:sz w:val="18"/>
                <w:szCs w:val="18"/>
              </w:rPr>
              <w:t xml:space="preserve">Status</w:t>
            </w:r>
          </w:p>
        </w:tc>
      </w:tr>
      <w:tr>
        <w:trPr>
          <w:cantSplit/>
        </w:trPr>
        <w:tc>
          <w:tcPr>
            <w:tcW w:type="dxa" w:w="648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Backup job completion records / schedule</w:t>
            </w:r>
          </w:p>
        </w:tc>
        <w:tc>
          <w:tcPr>
            <w:tcW w:type="dxa" w:w="36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Evidence Required — Not Provided (Simulated Requirement)</w:t>
            </w:r>
          </w:p>
        </w:tc>
      </w:tr>
      <w:tr>
        <w:trPr>
          <w:cantSplit/>
        </w:trPr>
        <w:tc>
          <w:tcPr>
            <w:tcW w:type="dxa" w:w="64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Backup integrity / validation reports (e.g., checksums)</w:t>
            </w:r>
          </w:p>
        </w:tc>
        <w:tc>
          <w:tcPr>
            <w:tcW w:type="dxa" w:w="36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Evidence Required — Not Provided (Simulated Requirement)</w:t>
            </w:r>
          </w:p>
        </w:tc>
      </w:tr>
      <w:tr>
        <w:trPr>
          <w:cantSplit/>
        </w:trPr>
        <w:tc>
          <w:tcPr>
            <w:tcW w:type="dxa" w:w="648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Restore logs from the recovery test</w:t>
            </w:r>
          </w:p>
        </w:tc>
        <w:tc>
          <w:tcPr>
            <w:tcW w:type="dxa" w:w="36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Evidence Required — Not Provided (Simulated Requirement)</w:t>
            </w:r>
          </w:p>
        </w:tc>
      </w:tr>
      <w:tr>
        <w:trPr>
          <w:cantSplit/>
        </w:trPr>
        <w:tc>
          <w:tcPr>
            <w:tcW w:type="dxa" w:w="64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Service-recovery / failover records for the recovery environment</w:t>
            </w:r>
          </w:p>
        </w:tc>
        <w:tc>
          <w:tcPr>
            <w:tcW w:type="dxa" w:w="36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Evidence Required — Not Provided (Simulated Requirement)</w:t>
            </w:r>
          </w:p>
        </w:tc>
      </w:tr>
      <w:tr>
        <w:trPr>
          <w:cantSplit/>
        </w:trPr>
        <w:tc>
          <w:tcPr>
            <w:tcW w:type="dxa" w:w="648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Post-restore data-validation results</w:t>
            </w:r>
          </w:p>
        </w:tc>
        <w:tc>
          <w:tcPr>
            <w:tcW w:type="dxa" w:w="36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Evidence Required — Not Provided (Simulated Requirement)</w:t>
            </w:r>
          </w:p>
        </w:tc>
      </w:tr>
      <w:tr>
        <w:trPr>
          <w:cantSplit/>
        </w:trPr>
        <w:tc>
          <w:tcPr>
            <w:tcW w:type="dxa" w:w="64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Measured recovery-time (RTO) and recovery-point (RPO) results against defined targets</w:t>
            </w:r>
          </w:p>
        </w:tc>
        <w:tc>
          <w:tcPr>
            <w:tcW w:type="dxa" w:w="36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Evidence Required — Not Provided (Simulated Requirement)</w:t>
            </w:r>
          </w:p>
        </w:tc>
      </w:tr>
      <w:tr>
        <w:trPr>
          <w:cantSplit/>
        </w:trPr>
        <w:tc>
          <w:tcPr>
            <w:tcW w:type="dxa" w:w="648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Backup &amp; recovery procedure and DR runbook</w:t>
            </w:r>
          </w:p>
        </w:tc>
        <w:tc>
          <w:tcPr>
            <w:tcW w:type="dxa" w:w="36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Evidence Required — Not Provided (Simulated Requirement)</w:t>
            </w:r>
          </w:p>
        </w:tc>
      </w:tr>
      <w:tr>
        <w:trPr>
          <w:cantSplit/>
        </w:trPr>
        <w:tc>
          <w:tcPr>
            <w:tcW w:type="dxa" w:w="64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Backup retention / rotation policy and evidence</w:t>
            </w:r>
          </w:p>
        </w:tc>
        <w:tc>
          <w:tcPr>
            <w:tcW w:type="dxa" w:w="36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Evidence Required — Not Provided (Simulated Requirement)</w:t>
            </w:r>
          </w:p>
        </w:tc>
      </w:tr>
    </w:tbl>
    <w:p>
      <w:pPr>
        <w:pStyle w:val="Heading1"/>
        <w:pBdr>
          <w:bottom w:val="single" w:color="B4BED4" w:sz="6" w:space="3"/>
        </w:pBdr>
      </w:pPr>
      <w:r>
        <w:t xml:space="preserve">13. Reviewer / Sign-Off — Not Applicable (Portfolio Simulation)</w:t>
      </w:r>
    </w:p>
    <w:p>
      <w:pPr>
        <w:spacing w:after="120" w:before="0" w:line="276"/>
        <w:jc w:val="left"/>
      </w:pPr>
      <w:r>
        <w:rPr>
          <w:i/>
          <w:iCs/>
          <w:color w:val="222222"/>
          <w:sz w:val="19"/>
          <w:szCs w:val="19"/>
        </w:rPr>
        <w:t xml:space="preserve">Sign-off is not applicable for this portfolio simulation. The blank sign-off table below illustrates the review and approval fields the real artifact would capture.</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000"/>
        <w:gridCol w:w="2580"/>
        <w:gridCol w:w="1900"/>
        <w:gridCol w:w="1200"/>
        <w:gridCol w:w="1400"/>
      </w:tblGrid>
      <w:tr>
        <w:trPr>
          <w:cantSplit/>
          <w:tblHeader/>
        </w:trPr>
        <w:tc>
          <w:tcPr>
            <w:tcW w:type="dxa" w:w="30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Role</w:t>
            </w:r>
          </w:p>
        </w:tc>
        <w:tc>
          <w:tcPr>
            <w:tcW w:type="dxa" w:w="258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Name</w:t>
            </w:r>
          </w:p>
        </w:tc>
        <w:tc>
          <w:tcPr>
            <w:tcW w:type="dxa" w:w="19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Title</w:t>
            </w:r>
          </w:p>
        </w:tc>
        <w:tc>
          <w:tcPr>
            <w:tcW w:type="dxa" w:w="12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Signature</w:t>
            </w:r>
          </w:p>
        </w:tc>
        <w:tc>
          <w:tcPr>
            <w:tcW w:type="dxa" w:w="14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Date</w:t>
            </w:r>
          </w:p>
        </w:tc>
      </w:tr>
      <w:tr>
        <w:trPr>
          <w:cantSplit/>
          <w:trHeight w:val="500" w:hRule="atLeast"/>
        </w:trPr>
        <w:tc>
          <w:tcPr>
            <w:tcW w:type="dxa" w:w="3000"/>
            <w:shd w:fill="DCE3F1" w:color="auto" w:val="clear"/>
            <w:tcMar>
              <w:top w:type="dxa" w:w="50"/>
              <w:left w:type="dxa" w:w="90"/>
              <w:bottom w:type="dxa" w:w="50"/>
              <w:right w:type="dxa" w:w="90"/>
            </w:tcMar>
            <w:vAlign w:val="top"/>
          </w:tcPr>
          <w:p>
            <w:pPr>
              <w:spacing w:after="0" w:line="264"/>
              <w:jc w:val="left"/>
            </w:pPr>
            <w:r>
              <w:rPr>
                <w:b/>
                <w:bCs/>
                <w:i w:val="false"/>
                <w:iCs w:val="false"/>
                <w:color w:val="1F3864"/>
                <w:sz w:val="16"/>
                <w:szCs w:val="16"/>
              </w:rPr>
              <w:t xml:space="preserve">Prepared By (GRC Analyst)</w:t>
            </w:r>
          </w:p>
        </w:tc>
        <w:tc>
          <w:tcPr>
            <w:tcW w:type="dxa" w:w="258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9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2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4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r>
      <w:tr>
        <w:trPr>
          <w:cantSplit/>
          <w:trHeight w:val="500" w:hRule="atLeast"/>
        </w:trPr>
        <w:tc>
          <w:tcPr>
            <w:tcW w:type="dxa" w:w="3000"/>
            <w:shd w:fill="DCE3F1" w:color="auto" w:val="clear"/>
            <w:tcMar>
              <w:top w:type="dxa" w:w="50"/>
              <w:left w:type="dxa" w:w="90"/>
              <w:bottom w:type="dxa" w:w="50"/>
              <w:right w:type="dxa" w:w="90"/>
            </w:tcMar>
            <w:vAlign w:val="top"/>
          </w:tcPr>
          <w:p>
            <w:pPr>
              <w:spacing w:after="0" w:line="264"/>
              <w:jc w:val="left"/>
            </w:pPr>
            <w:r>
              <w:rPr>
                <w:b/>
                <w:bCs/>
                <w:i w:val="false"/>
                <w:iCs w:val="false"/>
                <w:color w:val="1F3864"/>
                <w:sz w:val="16"/>
                <w:szCs w:val="16"/>
              </w:rPr>
              <w:t xml:space="preserve">Test Performed By (Infrastructure Operations Team)</w:t>
            </w:r>
          </w:p>
        </w:tc>
        <w:tc>
          <w:tcPr>
            <w:tcW w:type="dxa" w:w="258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9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2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4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r>
      <w:tr>
        <w:trPr>
          <w:cantSplit/>
          <w:trHeight w:val="500" w:hRule="atLeast"/>
        </w:trPr>
        <w:tc>
          <w:tcPr>
            <w:tcW w:type="dxa" w:w="3000"/>
            <w:shd w:fill="DCE3F1" w:color="auto" w:val="clear"/>
            <w:tcMar>
              <w:top w:type="dxa" w:w="50"/>
              <w:left w:type="dxa" w:w="90"/>
              <w:bottom w:type="dxa" w:w="50"/>
              <w:right w:type="dxa" w:w="90"/>
            </w:tcMar>
            <w:vAlign w:val="top"/>
          </w:tcPr>
          <w:p>
            <w:pPr>
              <w:spacing w:after="0" w:line="264"/>
              <w:jc w:val="left"/>
            </w:pPr>
            <w:r>
              <w:rPr>
                <w:b/>
                <w:bCs/>
                <w:i w:val="false"/>
                <w:iCs w:val="false"/>
                <w:color w:val="1F3864"/>
                <w:sz w:val="16"/>
                <w:szCs w:val="16"/>
              </w:rPr>
              <w:t xml:space="preserve">Reviewer / Quality Assurance</w:t>
            </w:r>
          </w:p>
        </w:tc>
        <w:tc>
          <w:tcPr>
            <w:tcW w:type="dxa" w:w="258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9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2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4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r>
      <w:tr>
        <w:trPr>
          <w:cantSplit/>
          <w:trHeight w:val="500" w:hRule="atLeast"/>
        </w:trPr>
        <w:tc>
          <w:tcPr>
            <w:tcW w:type="dxa" w:w="3000"/>
            <w:shd w:fill="DCE3F1" w:color="auto" w:val="clear"/>
            <w:tcMar>
              <w:top w:type="dxa" w:w="50"/>
              <w:left w:type="dxa" w:w="90"/>
              <w:bottom w:type="dxa" w:w="50"/>
              <w:right w:type="dxa" w:w="90"/>
            </w:tcMar>
            <w:vAlign w:val="top"/>
          </w:tcPr>
          <w:p>
            <w:pPr>
              <w:spacing w:after="0" w:line="264"/>
              <w:jc w:val="left"/>
            </w:pPr>
            <w:r>
              <w:rPr>
                <w:b/>
                <w:bCs/>
                <w:i w:val="false"/>
                <w:iCs w:val="false"/>
                <w:color w:val="1F3864"/>
                <w:sz w:val="16"/>
                <w:szCs w:val="16"/>
              </w:rPr>
              <w:t xml:space="preserve">Approver</w:t>
            </w:r>
          </w:p>
        </w:tc>
        <w:tc>
          <w:tcPr>
            <w:tcW w:type="dxa" w:w="258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9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2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4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r>
    </w:tbl>
    <w:p>
      <w:pPr>
        <w:pStyle w:val="Heading1"/>
        <w:pBdr>
          <w:bottom w:val="single" w:color="B4BED4" w:sz="6" w:space="3"/>
        </w:pBdr>
      </w:pPr>
      <w:r>
        <w:t xml:space="preserve">14. Revision History</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150"/>
        <w:gridCol w:w="1700"/>
        <w:gridCol w:w="4930"/>
        <w:gridCol w:w="2300"/>
      </w:tblGrid>
      <w:tr>
        <w:trPr>
          <w:cantSplit/>
          <w:tblHeader/>
        </w:trPr>
        <w:tc>
          <w:tcPr>
            <w:tcW w:type="dxa" w:w="1150"/>
            <w:shd w:fill="1F3864" w:color="auto" w:val="clear"/>
            <w:tcMar>
              <w:top w:type="dxa" w:w="50"/>
              <w:left w:type="dxa" w:w="90"/>
              <w:bottom w:type="dxa" w:w="50"/>
              <w:right w:type="dxa" w:w="90"/>
            </w:tcMar>
            <w:vAlign w:val="center"/>
          </w:tcPr>
          <w:p>
            <w:pPr>
              <w:spacing w:after="0"/>
              <w:jc w:val="left"/>
            </w:pPr>
            <w:r>
              <w:rPr>
                <w:b/>
                <w:bCs/>
                <w:color w:val="FFFFFF"/>
                <w:sz w:val="18"/>
                <w:szCs w:val="18"/>
              </w:rPr>
              <w:t xml:space="preserve">Version</w:t>
            </w:r>
          </w:p>
        </w:tc>
        <w:tc>
          <w:tcPr>
            <w:tcW w:type="dxa" w:w="1700"/>
            <w:shd w:fill="1F3864" w:color="auto" w:val="clear"/>
            <w:tcMar>
              <w:top w:type="dxa" w:w="50"/>
              <w:left w:type="dxa" w:w="90"/>
              <w:bottom w:type="dxa" w:w="50"/>
              <w:right w:type="dxa" w:w="90"/>
            </w:tcMar>
            <w:vAlign w:val="center"/>
          </w:tcPr>
          <w:p>
            <w:pPr>
              <w:spacing w:after="0"/>
              <w:jc w:val="left"/>
            </w:pPr>
            <w:r>
              <w:rPr>
                <w:b/>
                <w:bCs/>
                <w:color w:val="FFFFFF"/>
                <w:sz w:val="18"/>
                <w:szCs w:val="18"/>
              </w:rPr>
              <w:t xml:space="preserve">Date</w:t>
            </w:r>
          </w:p>
        </w:tc>
        <w:tc>
          <w:tcPr>
            <w:tcW w:type="dxa" w:w="4930"/>
            <w:shd w:fill="1F3864" w:color="auto" w:val="clear"/>
            <w:tcMar>
              <w:top w:type="dxa" w:w="50"/>
              <w:left w:type="dxa" w:w="90"/>
              <w:bottom w:type="dxa" w:w="50"/>
              <w:right w:type="dxa" w:w="90"/>
            </w:tcMar>
            <w:vAlign w:val="center"/>
          </w:tcPr>
          <w:p>
            <w:pPr>
              <w:spacing w:after="0"/>
              <w:jc w:val="left"/>
            </w:pPr>
            <w:r>
              <w:rPr>
                <w:b/>
                <w:bCs/>
                <w:color w:val="FFFFFF"/>
                <w:sz w:val="18"/>
                <w:szCs w:val="18"/>
              </w:rPr>
              <w:t xml:space="preserve">Description</w:t>
            </w:r>
          </w:p>
        </w:tc>
        <w:tc>
          <w:tcPr>
            <w:tcW w:type="dxa" w:w="2300"/>
            <w:shd w:fill="1F3864" w:color="auto" w:val="clear"/>
            <w:tcMar>
              <w:top w:type="dxa" w:w="50"/>
              <w:left w:type="dxa" w:w="90"/>
              <w:bottom w:type="dxa" w:w="50"/>
              <w:right w:type="dxa" w:w="90"/>
            </w:tcMar>
            <w:vAlign w:val="center"/>
          </w:tcPr>
          <w:p>
            <w:pPr>
              <w:spacing w:after="0"/>
              <w:jc w:val="left"/>
            </w:pPr>
            <w:r>
              <w:rPr>
                <w:b/>
                <w:bCs/>
                <w:color w:val="FFFFFF"/>
                <w:sz w:val="18"/>
                <w:szCs w:val="18"/>
              </w:rPr>
              <w:t xml:space="preserve">Author</w:t>
            </w:r>
          </w:p>
        </w:tc>
      </w:tr>
      <w:tr>
        <w:trPr>
          <w:cantSplit/>
        </w:trPr>
        <w:tc>
          <w:tcPr>
            <w:tcW w:type="dxa" w:w="115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1.0</w:t>
            </w:r>
          </w:p>
        </w:tc>
        <w:tc>
          <w:tcPr>
            <w:tcW w:type="dxa" w:w="17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September 26, 2026</w:t>
            </w:r>
          </w:p>
        </w:tc>
        <w:tc>
          <w:tcPr>
            <w:tcW w:type="dxa" w:w="493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Initial creation of the Backup &amp; Recovery Test Record supporting CTL-007 (ISO 27001 A.5.30).</w:t>
            </w:r>
          </w:p>
        </w:tc>
        <w:tc>
          <w:tcPr>
            <w:tcW w:type="dxa" w:w="23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Maxine Jones, GRC Analyst</w:t>
            </w:r>
          </w:p>
        </w:tc>
      </w:tr>
    </w:tbl>
    <w:p>
      <w:pPr>
        <w:spacing w:after="160"/>
      </w:pPr>
      <w:r>
        <w:rPr>
          <w:color w:val="222222"/>
          <w:sz w:val="21"/>
          <w:szCs w:val="21"/>
        </w:rPr>
        <w:t xml:space="preserve"/>
      </w:r>
    </w:p>
    <w:tbl>
      <w:tblPr>
        <w:tblW w:type="dxa" w:w="10080"/>
        <w:tblBorders>
          <w:top w:val="single" w:color="AAB4CC" w:sz="4"/>
          <w:left w:val="single" w:color="AAB4CC" w:sz="4"/>
          <w:bottom w:val="single" w:color="AAB4CC" w:sz="4"/>
          <w:right w:val="single" w:color="AAB4CC" w:sz="4"/>
          <w:insideH w:val="none"/>
          <w:insideV w:val="none"/>
        </w:tblBorders>
        <w:tblLayout w:type="fixed"/>
      </w:tblPr>
      <w:tblGrid>
        <w:gridCol w:w="10080"/>
      </w:tblGrid>
      <w:tr>
        <w:trPr>
          <w:cantSplit/>
        </w:trPr>
        <w:tc>
          <w:tcPr>
            <w:tcW w:type="dxa" w:w="10080"/>
            <w:shd w:fill="E4E8F4" w:color="auto" w:val="clear"/>
            <w:tcMar>
              <w:top w:type="dxa" w:w="120"/>
              <w:left w:type="dxa" w:w="150"/>
              <w:bottom w:type="dxa" w:w="120"/>
              <w:right w:type="dxa" w:w="150"/>
            </w:tcMar>
          </w:tcPr>
          <w:p>
            <w:pPr>
              <w:spacing w:after="0" w:line="276"/>
            </w:pPr>
            <w:r>
              <w:rPr>
                <w:b/>
                <w:bCs/>
                <w:color w:val="2F5496"/>
                <w:sz w:val="18"/>
                <w:szCs w:val="18"/>
              </w:rPr>
              <w:t xml:space="preserve">Portfolio Simulation Disclosure — </w:t>
            </w:r>
            <w:r>
              <w:rPr>
                <w:i/>
                <w:iCs/>
                <w:color w:val="222222"/>
                <w:sz w:val="18"/>
                <w:szCs w:val="18"/>
              </w:rPr>
              <w:t xml:space="preserve">This artifact was created as part of a simulated GRC practice environment for educational and portfolio purposes and does not represent the records or control environment of an actual organization.</w:t>
            </w:r>
          </w:p>
        </w:tc>
      </w:tr>
    </w:tbl>
    <w:sectPr>
      <w:headerReference w:type="default" r:id="rId7"/>
      <w:footerReference w:type="default" r:id="rId8"/>
      <w:pgSz w:w="12240" w:h="15840" w:orient="portrait"/>
      <w:pgMar w:top="1300" w:right="1080" w:bottom="1080" w:left="1080" w:header="68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0"/>
      <w:jc w:val="center"/>
    </w:pPr>
    <w:r>
      <w:rPr>
        <w:color w:val="7F7F7F"/>
        <w:sz w:val="16"/>
        <w:szCs w:val="16"/>
      </w:rPr>
      <w:t xml:space="preserve">MAL-BRT-007   |   Confidential — Internal Use Only   |   Page </w:t>
    </w:r>
    <w:r>
      <w:rPr>
        <w:b/>
        <w:bCs/>
        <w:color w:val="7F7F7F"/>
        <w:sz w:val="16"/>
        <w:szCs w:val="16"/>
      </w:rPr>
      <w:fldChar w:fldCharType="begin"/>
      <w:instrText xml:space="preserve">PAGE</w:instrText>
      <w:fldChar w:fldCharType="separate"/>
      <w:fldChar w:fldCharType="end"/>
    </w:r>
    <w:r>
      <w:rPr>
        <w:color w:val="7F7F7F"/>
        <w:sz w:val="16"/>
        <w:szCs w:val="16"/>
      </w:rPr>
      <w:t xml:space="preserve"> of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7F7F7F"/>
        <w:sz w:val="16"/>
        <w:szCs w:val="16"/>
      </w:rPr>
      <w:t xml:space="preserve">MindfulAI Labs — Simulated GRC Practice Environment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Calibri" w:cs="Calibri" w:eastAsia="Calibri" w:hAnsi="Calibri"/>
      <w:b/>
      <w:bCs/>
      <w:color w:val="2F5496"/>
      <w:sz w:val="27"/>
      <w:szCs w:val="27"/>
    </w:rPr>
  </w:style>
  <w:style w:type="paragraph" w:styleId="Heading2">
    <w:name w:val="Heading 2"/>
    <w:basedOn w:val="Normal"/>
    <w:next w:val="Normal"/>
    <w:qFormat/>
    <w:pPr>
      <w:keepNext/>
      <w:spacing w:after="50" w:before="160"/>
      <w:outlineLvl w:val="1"/>
    </w:pPr>
    <w:rPr>
      <w:rFonts w:ascii="Calibri" w:cs="Calibri" w:eastAsia="Calibri" w:hAnsi="Calibri"/>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MAL-BRT-007 Backup &amp; Recovery Test Record</dc:title>
  <dc:creator>Maxine Jones, GRC Analyst</dc:creator>
  <dc:description>Simulated GRC portfolio artifact — MindfulAI Labs</dc:description>
  <cp:lastModifiedBy>Un-named</cp:lastModifiedBy>
  <cp:revision>1</cp:revision>
  <dcterms:created xsi:type="dcterms:W3CDTF">2026-09-26T06:25:45.749Z</dcterms:created>
  <dcterms:modified xsi:type="dcterms:W3CDTF">2026-09-26T06:25:45.760Z</dcterms:modified>
</cp:coreProperties>
</file>

<file path=docProps/custom.xml><?xml version="1.0" encoding="utf-8"?>
<Properties xmlns="http://schemas.openxmlformats.org/officeDocument/2006/custom-properties" xmlns:vt="http://schemas.openxmlformats.org/officeDocument/2006/docPropsVTypes"/>
</file>