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F3864"/>
          <w:sz w:val="34"/>
          <w:szCs w:val="34"/>
        </w:rPr>
        <w:t xml:space="preserve">MindfulAI Labs</w:t>
      </w:r>
    </w:p>
    <w:p>
      <w:pPr>
        <w:spacing w:after="200"/>
      </w:pPr>
      <w:r>
        <w:rPr>
          <w:rFonts w:ascii="Calibri" w:cs="Calibri" w:eastAsia="Calibri" w:hAnsi="Calibri"/>
          <w:i/>
          <w:iCs/>
          <w:color w:val="7F7F7F"/>
          <w:sz w:val="21"/>
          <w:szCs w:val="21"/>
        </w:rPr>
        <w:t xml:space="preserve">Simulated GRC Practice Environment</w:t>
      </w:r>
    </w:p>
    <w:p>
      <w:pPr>
        <w:spacing w:after="60"/>
      </w:pPr>
      <w:r>
        <w:rPr>
          <w:rFonts w:ascii="Calibri" w:cs="Calibri" w:eastAsia="Calibri" w:hAnsi="Calibri"/>
          <w:b/>
          <w:bCs/>
          <w:color w:val="1F3864"/>
          <w:sz w:val="30"/>
          <w:szCs w:val="30"/>
        </w:rPr>
        <w:t xml:space="preserve">Compliance Assessment Plan &amp; Evidence Request</w:t>
      </w:r>
    </w:p>
    <w:p>
      <w:pPr>
        <w:pBdr>
          <w:bottom w:val="single" w:color="1F3864" w:sz="12" w:space="4"/>
        </w:pBdr>
        <w:spacing w:after="200"/>
      </w:pPr>
      <w:r>
        <w:rPr>
          <w:rFonts w:ascii="Calibri" w:cs="Calibri" w:eastAsia="Calibri" w:hAnsi="Calibri"/>
          <w:color w:val="222222"/>
          <w:sz w:val="21"/>
          <w:szCs w:val="21"/>
        </w:rPr>
        <w:t xml:space="preserve">Annual Compliance Assessments of High-Impact AI Systems — CTL-009 · ISO 27001 A.5.31</w:t>
      </w:r>
    </w:p>
    <w:p>
      <w:pPr>
        <w:pStyle w:val="Heading1"/>
        <w:keepNext/>
        <w:pBdr>
          <w:bottom w:val="single" w:color="1F3864" w:sz="6" w:space="2"/>
        </w:pBdr>
        <w:spacing w:after="120" w:before="280"/>
      </w:pPr>
      <w:r>
        <w:rPr>
          <w:rFonts w:ascii="Calibri" w:cs="Calibri" w:eastAsia="Calibri" w:hAnsi="Calibri"/>
          <w:b/>
          <w:bCs/>
          <w:color w:val="1F3864"/>
          <w:sz w:val="26"/>
          <w:szCs w:val="26"/>
        </w:rPr>
        <w:t xml:space="preserve">1. Document Control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900"/>
        <w:gridCol w:w="7180"/>
      </w:tblGrid>
      <w:tr>
        <w:trPr>
          <w:cantSplit/>
        </w:trPr>
        <w:tc>
          <w:tcPr>
            <w:tcW w:type="dxa" w:w="2900"/>
            <w:tcBorders>
              <w:top w:val="single" w:color="BFBFBF" w:sz="4"/>
              <w:left w:val="single" w:color="BFBFBF" w:sz="4"/>
              <w:bottom w:val="single" w:color="BFBFBF" w:sz="4"/>
              <w:right w:val="single" w:color="BFBFBF" w:sz="4"/>
            </w:tcBorders>
            <w:shd w:fill="DCE3F1" w:color="auto" w:val="clear"/>
            <w:tcMar>
              <w:top w:type="dxa" w:w="50"/>
              <w:left w:type="dxa" w:w="90"/>
              <w:bottom w:type="dxa" w:w="50"/>
              <w:right w:type="dxa" w:w="90"/>
            </w:tcMar>
          </w:tcPr>
          <w:p>
            <w:pPr>
              <w:spacing w:after="20" w:before="20"/>
            </w:pPr>
            <w:r>
              <w:rPr>
                <w:rFonts w:ascii="Calibri" w:cs="Calibri" w:eastAsia="Calibri" w:hAnsi="Calibri"/>
                <w:b/>
                <w:bCs/>
                <w:color w:val="222222"/>
                <w:sz w:val="18"/>
                <w:szCs w:val="18"/>
              </w:rPr>
              <w:t xml:space="preserve">Document Title</w:t>
            </w:r>
          </w:p>
        </w:tc>
        <w:tc>
          <w:tcPr>
            <w:tcW w:type="dxa" w:w="71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b w:val="false"/>
                <w:bCs w:val="false"/>
                <w:color w:val="222222"/>
                <w:sz w:val="18"/>
                <w:szCs w:val="18"/>
              </w:rPr>
              <w:t xml:space="preserve">Compliance Assessment Plan &amp; Evidence Request — High-Impact AI Systems</w:t>
            </w:r>
          </w:p>
        </w:tc>
      </w:tr>
      <w:tr>
        <w:trPr>
          <w:cantSplit/>
        </w:trPr>
        <w:tc>
          <w:tcPr>
            <w:tcW w:type="dxa" w:w="2900"/>
            <w:tcBorders>
              <w:top w:val="single" w:color="BFBFBF" w:sz="4"/>
              <w:left w:val="single" w:color="BFBFBF" w:sz="4"/>
              <w:bottom w:val="single" w:color="BFBFBF" w:sz="4"/>
              <w:right w:val="single" w:color="BFBFBF" w:sz="4"/>
            </w:tcBorders>
            <w:shd w:fill="DCE3F1" w:color="auto" w:val="clear"/>
            <w:tcMar>
              <w:top w:type="dxa" w:w="50"/>
              <w:left w:type="dxa" w:w="90"/>
              <w:bottom w:type="dxa" w:w="50"/>
              <w:right w:type="dxa" w:w="90"/>
            </w:tcMar>
          </w:tcPr>
          <w:p>
            <w:pPr>
              <w:spacing w:after="20" w:before="20"/>
            </w:pPr>
            <w:r>
              <w:rPr>
                <w:rFonts w:ascii="Calibri" w:cs="Calibri" w:eastAsia="Calibri" w:hAnsi="Calibri"/>
                <w:b/>
                <w:bCs/>
                <w:color w:val="222222"/>
                <w:sz w:val="18"/>
                <w:szCs w:val="18"/>
              </w:rPr>
              <w:t xml:space="preserve">Document ID</w:t>
            </w:r>
          </w:p>
        </w:tc>
        <w:tc>
          <w:tcPr>
            <w:tcW w:type="dxa" w:w="718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pPr>
              <w:spacing w:after="20" w:before="20"/>
            </w:pPr>
            <w:r>
              <w:rPr>
                <w:rFonts w:ascii="Calibri" w:cs="Calibri" w:eastAsia="Calibri" w:hAnsi="Calibri"/>
                <w:b w:val="false"/>
                <w:bCs w:val="false"/>
                <w:color w:val="222222"/>
                <w:sz w:val="18"/>
                <w:szCs w:val="18"/>
              </w:rPr>
              <w:t xml:space="preserve">MAL-CAP-009</w:t>
            </w:r>
          </w:p>
        </w:tc>
      </w:tr>
      <w:tr>
        <w:trPr>
          <w:cantSplit/>
        </w:trPr>
        <w:tc>
          <w:tcPr>
            <w:tcW w:type="dxa" w:w="2900"/>
            <w:tcBorders>
              <w:top w:val="single" w:color="BFBFBF" w:sz="4"/>
              <w:left w:val="single" w:color="BFBFBF" w:sz="4"/>
              <w:bottom w:val="single" w:color="BFBFBF" w:sz="4"/>
              <w:right w:val="single" w:color="BFBFBF" w:sz="4"/>
            </w:tcBorders>
            <w:shd w:fill="DCE3F1" w:color="auto" w:val="clear"/>
            <w:tcMar>
              <w:top w:type="dxa" w:w="50"/>
              <w:left w:type="dxa" w:w="90"/>
              <w:bottom w:type="dxa" w:w="50"/>
              <w:right w:type="dxa" w:w="90"/>
            </w:tcMar>
          </w:tcPr>
          <w:p>
            <w:pPr>
              <w:spacing w:after="20" w:before="20"/>
            </w:pPr>
            <w:r>
              <w:rPr>
                <w:rFonts w:ascii="Calibri" w:cs="Calibri" w:eastAsia="Calibri" w:hAnsi="Calibri"/>
                <w:b/>
                <w:bCs/>
                <w:color w:val="222222"/>
                <w:sz w:val="18"/>
                <w:szCs w:val="18"/>
              </w:rPr>
              <w:t xml:space="preserve">Version</w:t>
            </w:r>
          </w:p>
        </w:tc>
        <w:tc>
          <w:tcPr>
            <w:tcW w:type="dxa" w:w="71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b w:val="false"/>
                <w:bCs w:val="false"/>
                <w:color w:val="222222"/>
                <w:sz w:val="18"/>
                <w:szCs w:val="18"/>
              </w:rPr>
              <w:t xml:space="preserve">1.0</w:t>
            </w:r>
          </w:p>
        </w:tc>
      </w:tr>
      <w:tr>
        <w:trPr>
          <w:cantSplit/>
        </w:trPr>
        <w:tc>
          <w:tcPr>
            <w:tcW w:type="dxa" w:w="2900"/>
            <w:tcBorders>
              <w:top w:val="single" w:color="BFBFBF" w:sz="4"/>
              <w:left w:val="single" w:color="BFBFBF" w:sz="4"/>
              <w:bottom w:val="single" w:color="BFBFBF" w:sz="4"/>
              <w:right w:val="single" w:color="BFBFBF" w:sz="4"/>
            </w:tcBorders>
            <w:shd w:fill="DCE3F1" w:color="auto" w:val="clear"/>
            <w:tcMar>
              <w:top w:type="dxa" w:w="50"/>
              <w:left w:type="dxa" w:w="90"/>
              <w:bottom w:type="dxa" w:w="50"/>
              <w:right w:type="dxa" w:w="90"/>
            </w:tcMar>
          </w:tcPr>
          <w:p>
            <w:pPr>
              <w:spacing w:after="20" w:before="20"/>
            </w:pPr>
            <w:r>
              <w:rPr>
                <w:rFonts w:ascii="Calibri" w:cs="Calibri" w:eastAsia="Calibri" w:hAnsi="Calibri"/>
                <w:b/>
                <w:bCs/>
                <w:color w:val="222222"/>
                <w:sz w:val="18"/>
                <w:szCs w:val="18"/>
              </w:rPr>
              <w:t xml:space="preserve">Classification</w:t>
            </w:r>
          </w:p>
        </w:tc>
        <w:tc>
          <w:tcPr>
            <w:tcW w:type="dxa" w:w="718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pPr>
              <w:spacing w:after="20" w:before="20"/>
            </w:pPr>
            <w:r>
              <w:rPr>
                <w:rFonts w:ascii="Calibri" w:cs="Calibri" w:eastAsia="Calibri" w:hAnsi="Calibri"/>
                <w:b w:val="false"/>
                <w:bCs w:val="false"/>
                <w:color w:val="222222"/>
                <w:sz w:val="18"/>
                <w:szCs w:val="18"/>
              </w:rPr>
              <w:t xml:space="preserve">Confidential — Internal Use Only</w:t>
            </w:r>
          </w:p>
        </w:tc>
      </w:tr>
      <w:tr>
        <w:trPr>
          <w:cantSplit/>
        </w:trPr>
        <w:tc>
          <w:tcPr>
            <w:tcW w:type="dxa" w:w="2900"/>
            <w:tcBorders>
              <w:top w:val="single" w:color="BFBFBF" w:sz="4"/>
              <w:left w:val="single" w:color="BFBFBF" w:sz="4"/>
              <w:bottom w:val="single" w:color="BFBFBF" w:sz="4"/>
              <w:right w:val="single" w:color="BFBFBF" w:sz="4"/>
            </w:tcBorders>
            <w:shd w:fill="DCE3F1" w:color="auto" w:val="clear"/>
            <w:tcMar>
              <w:top w:type="dxa" w:w="50"/>
              <w:left w:type="dxa" w:w="90"/>
              <w:bottom w:type="dxa" w:w="50"/>
              <w:right w:type="dxa" w:w="90"/>
            </w:tcMar>
          </w:tcPr>
          <w:p>
            <w:pPr>
              <w:spacing w:after="20" w:before="20"/>
            </w:pPr>
            <w:r>
              <w:rPr>
                <w:rFonts w:ascii="Calibri" w:cs="Calibri" w:eastAsia="Calibri" w:hAnsi="Calibri"/>
                <w:b/>
                <w:bCs/>
                <w:color w:val="222222"/>
                <w:sz w:val="18"/>
                <w:szCs w:val="18"/>
              </w:rPr>
              <w:t xml:space="preserve">Control Reference</w:t>
            </w:r>
          </w:p>
        </w:tc>
        <w:tc>
          <w:tcPr>
            <w:tcW w:type="dxa" w:w="71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b w:val="false"/>
                <w:bCs w:val="false"/>
                <w:color w:val="222222"/>
                <w:sz w:val="18"/>
                <w:szCs w:val="18"/>
              </w:rPr>
              <w:t xml:space="preserve">CTL-009 — Perform documented compliance assessments of high-impact AI systems against applicable requirements</w:t>
            </w:r>
          </w:p>
        </w:tc>
      </w:tr>
      <w:tr>
        <w:trPr>
          <w:cantSplit/>
        </w:trPr>
        <w:tc>
          <w:tcPr>
            <w:tcW w:type="dxa" w:w="2900"/>
            <w:tcBorders>
              <w:top w:val="single" w:color="BFBFBF" w:sz="4"/>
              <w:left w:val="single" w:color="BFBFBF" w:sz="4"/>
              <w:bottom w:val="single" w:color="BFBFBF" w:sz="4"/>
              <w:right w:val="single" w:color="BFBFBF" w:sz="4"/>
            </w:tcBorders>
            <w:shd w:fill="DCE3F1" w:color="auto" w:val="clear"/>
            <w:tcMar>
              <w:top w:type="dxa" w:w="50"/>
              <w:left w:type="dxa" w:w="90"/>
              <w:bottom w:type="dxa" w:w="50"/>
              <w:right w:type="dxa" w:w="90"/>
            </w:tcMar>
          </w:tcPr>
          <w:p>
            <w:pPr>
              <w:spacing w:after="20" w:before="20"/>
            </w:pPr>
            <w:r>
              <w:rPr>
                <w:rFonts w:ascii="Calibri" w:cs="Calibri" w:eastAsia="Calibri" w:hAnsi="Calibri"/>
                <w:b/>
                <w:bCs/>
                <w:color w:val="222222"/>
                <w:sz w:val="18"/>
                <w:szCs w:val="18"/>
              </w:rPr>
              <w:t xml:space="preserve">Framework Mapping</w:t>
            </w:r>
          </w:p>
        </w:tc>
        <w:tc>
          <w:tcPr>
            <w:tcW w:type="dxa" w:w="718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pPr>
              <w:spacing w:after="20" w:before="20"/>
            </w:pPr>
            <w:r>
              <w:rPr>
                <w:rFonts w:ascii="Calibri" w:cs="Calibri" w:eastAsia="Calibri" w:hAnsi="Calibri"/>
                <w:b w:val="false"/>
                <w:bCs w:val="false"/>
                <w:color w:val="222222"/>
                <w:sz w:val="18"/>
                <w:szCs w:val="18"/>
              </w:rPr>
              <w:t xml:space="preserve">ISO 27001 A.5.31</w:t>
            </w:r>
          </w:p>
        </w:tc>
      </w:tr>
      <w:tr>
        <w:trPr>
          <w:cantSplit/>
        </w:trPr>
        <w:tc>
          <w:tcPr>
            <w:tcW w:type="dxa" w:w="2900"/>
            <w:tcBorders>
              <w:top w:val="single" w:color="BFBFBF" w:sz="4"/>
              <w:left w:val="single" w:color="BFBFBF" w:sz="4"/>
              <w:bottom w:val="single" w:color="BFBFBF" w:sz="4"/>
              <w:right w:val="single" w:color="BFBFBF" w:sz="4"/>
            </w:tcBorders>
            <w:shd w:fill="DCE3F1" w:color="auto" w:val="clear"/>
            <w:tcMar>
              <w:top w:type="dxa" w:w="50"/>
              <w:left w:type="dxa" w:w="90"/>
              <w:bottom w:type="dxa" w:w="50"/>
              <w:right w:type="dxa" w:w="90"/>
            </w:tcMar>
          </w:tcPr>
          <w:p>
            <w:pPr>
              <w:spacing w:after="20" w:before="20"/>
            </w:pPr>
            <w:r>
              <w:rPr>
                <w:rFonts w:ascii="Calibri" w:cs="Calibri" w:eastAsia="Calibri" w:hAnsi="Calibri"/>
                <w:b/>
                <w:bCs/>
                <w:color w:val="222222"/>
                <w:sz w:val="18"/>
                <w:szCs w:val="18"/>
              </w:rPr>
              <w:t xml:space="preserve">Control Owner</w:t>
            </w:r>
          </w:p>
        </w:tc>
        <w:tc>
          <w:tcPr>
            <w:tcW w:type="dxa" w:w="71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b w:val="false"/>
                <w:bCs w:val="false"/>
                <w:color w:val="222222"/>
                <w:sz w:val="18"/>
                <w:szCs w:val="18"/>
              </w:rPr>
              <w:t xml:space="preserve">GRC Team</w:t>
            </w:r>
          </w:p>
        </w:tc>
      </w:tr>
      <w:tr>
        <w:trPr>
          <w:cantSplit/>
        </w:trPr>
        <w:tc>
          <w:tcPr>
            <w:tcW w:type="dxa" w:w="2900"/>
            <w:tcBorders>
              <w:top w:val="single" w:color="BFBFBF" w:sz="4"/>
              <w:left w:val="single" w:color="BFBFBF" w:sz="4"/>
              <w:bottom w:val="single" w:color="BFBFBF" w:sz="4"/>
              <w:right w:val="single" w:color="BFBFBF" w:sz="4"/>
            </w:tcBorders>
            <w:shd w:fill="DCE3F1" w:color="auto" w:val="clear"/>
            <w:tcMar>
              <w:top w:type="dxa" w:w="50"/>
              <w:left w:type="dxa" w:w="90"/>
              <w:bottom w:type="dxa" w:w="50"/>
              <w:right w:type="dxa" w:w="90"/>
            </w:tcMar>
          </w:tcPr>
          <w:p>
            <w:pPr>
              <w:spacing w:after="20" w:before="20"/>
            </w:pPr>
            <w:r>
              <w:rPr>
                <w:rFonts w:ascii="Calibri" w:cs="Calibri" w:eastAsia="Calibri" w:hAnsi="Calibri"/>
                <w:b/>
                <w:bCs/>
                <w:color w:val="222222"/>
                <w:sz w:val="18"/>
                <w:szCs w:val="18"/>
              </w:rPr>
              <w:t xml:space="preserve">Primary In-Scope System</w:t>
            </w:r>
          </w:p>
        </w:tc>
        <w:tc>
          <w:tcPr>
            <w:tcW w:type="dxa" w:w="718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pPr>
              <w:spacing w:after="20" w:before="20"/>
            </w:pPr>
            <w:r>
              <w:rPr>
                <w:rFonts w:ascii="Calibri" w:cs="Calibri" w:eastAsia="Calibri" w:hAnsi="Calibri"/>
                <w:b w:val="false"/>
                <w:bCs w:val="false"/>
                <w:color w:val="222222"/>
                <w:sz w:val="18"/>
                <w:szCs w:val="18"/>
              </w:rPr>
              <w:t xml:space="preserve">AST-001 — Clinical Diagnostic AI Model</w:t>
            </w:r>
          </w:p>
        </w:tc>
      </w:tr>
      <w:tr>
        <w:trPr>
          <w:cantSplit/>
        </w:trPr>
        <w:tc>
          <w:tcPr>
            <w:tcW w:type="dxa" w:w="2900"/>
            <w:tcBorders>
              <w:top w:val="single" w:color="BFBFBF" w:sz="4"/>
              <w:left w:val="single" w:color="BFBFBF" w:sz="4"/>
              <w:bottom w:val="single" w:color="BFBFBF" w:sz="4"/>
              <w:right w:val="single" w:color="BFBFBF" w:sz="4"/>
            </w:tcBorders>
            <w:shd w:fill="DCE3F1" w:color="auto" w:val="clear"/>
            <w:tcMar>
              <w:top w:type="dxa" w:w="50"/>
              <w:left w:type="dxa" w:w="90"/>
              <w:bottom w:type="dxa" w:w="50"/>
              <w:right w:type="dxa" w:w="90"/>
            </w:tcMar>
          </w:tcPr>
          <w:p>
            <w:pPr>
              <w:spacing w:after="20" w:before="20"/>
            </w:pPr>
            <w:r>
              <w:rPr>
                <w:rFonts w:ascii="Calibri" w:cs="Calibri" w:eastAsia="Calibri" w:hAnsi="Calibri"/>
                <w:b/>
                <w:bCs/>
                <w:color w:val="222222"/>
                <w:sz w:val="18"/>
                <w:szCs w:val="18"/>
              </w:rPr>
              <w:t xml:space="preserve">Supporting Asset</w:t>
            </w:r>
          </w:p>
        </w:tc>
        <w:tc>
          <w:tcPr>
            <w:tcW w:type="dxa" w:w="71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b w:val="false"/>
                <w:bCs w:val="false"/>
                <w:color w:val="222222"/>
                <w:sz w:val="18"/>
                <w:szCs w:val="18"/>
              </w:rPr>
              <w:t xml:space="preserve">AST-002 — Financial Risk Training Data Repository</w:t>
            </w:r>
          </w:p>
        </w:tc>
      </w:tr>
      <w:tr>
        <w:trPr>
          <w:cantSplit/>
        </w:trPr>
        <w:tc>
          <w:tcPr>
            <w:tcW w:type="dxa" w:w="2900"/>
            <w:tcBorders>
              <w:top w:val="single" w:color="BFBFBF" w:sz="4"/>
              <w:left w:val="single" w:color="BFBFBF" w:sz="4"/>
              <w:bottom w:val="single" w:color="BFBFBF" w:sz="4"/>
              <w:right w:val="single" w:color="BFBFBF" w:sz="4"/>
            </w:tcBorders>
            <w:shd w:fill="DCE3F1" w:color="auto" w:val="clear"/>
            <w:tcMar>
              <w:top w:type="dxa" w:w="50"/>
              <w:left w:type="dxa" w:w="90"/>
              <w:bottom w:type="dxa" w:w="50"/>
              <w:right w:type="dxa" w:w="90"/>
            </w:tcMar>
          </w:tcPr>
          <w:p>
            <w:pPr>
              <w:spacing w:after="20" w:before="20"/>
            </w:pPr>
            <w:r>
              <w:rPr>
                <w:rFonts w:ascii="Calibri" w:cs="Calibri" w:eastAsia="Calibri" w:hAnsi="Calibri"/>
                <w:b/>
                <w:bCs/>
                <w:color w:val="222222"/>
                <w:sz w:val="18"/>
                <w:szCs w:val="18"/>
              </w:rPr>
              <w:t xml:space="preserve">Reference-Only Environment</w:t>
            </w:r>
          </w:p>
        </w:tc>
        <w:tc>
          <w:tcPr>
            <w:tcW w:type="dxa" w:w="718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pPr>
              <w:spacing w:after="20" w:before="20"/>
            </w:pPr>
            <w:r>
              <w:rPr>
                <w:rFonts w:ascii="Calibri" w:cs="Calibri" w:eastAsia="Calibri" w:hAnsi="Calibri"/>
                <w:b w:val="false"/>
                <w:bCs w:val="false"/>
                <w:color w:val="222222"/>
                <w:sz w:val="18"/>
                <w:szCs w:val="18"/>
              </w:rPr>
              <w:t xml:space="preserve">AST-006 — Pre-Production AI Validation Environment</w:t>
            </w:r>
          </w:p>
        </w:tc>
      </w:tr>
      <w:tr>
        <w:trPr>
          <w:cantSplit/>
        </w:trPr>
        <w:tc>
          <w:tcPr>
            <w:tcW w:type="dxa" w:w="2900"/>
            <w:tcBorders>
              <w:top w:val="single" w:color="BFBFBF" w:sz="4"/>
              <w:left w:val="single" w:color="BFBFBF" w:sz="4"/>
              <w:bottom w:val="single" w:color="BFBFBF" w:sz="4"/>
              <w:right w:val="single" w:color="BFBFBF" w:sz="4"/>
            </w:tcBorders>
            <w:shd w:fill="DCE3F1" w:color="auto" w:val="clear"/>
            <w:tcMar>
              <w:top w:type="dxa" w:w="50"/>
              <w:left w:type="dxa" w:w="90"/>
              <w:bottom w:type="dxa" w:w="50"/>
              <w:right w:type="dxa" w:w="90"/>
            </w:tcMar>
          </w:tcPr>
          <w:p>
            <w:pPr>
              <w:spacing w:after="20" w:before="20"/>
            </w:pPr>
            <w:r>
              <w:rPr>
                <w:rFonts w:ascii="Calibri" w:cs="Calibri" w:eastAsia="Calibri" w:hAnsi="Calibri"/>
                <w:b/>
                <w:bCs/>
                <w:color w:val="222222"/>
                <w:sz w:val="18"/>
                <w:szCs w:val="18"/>
              </w:rPr>
              <w:t xml:space="preserve">Prepared By</w:t>
            </w:r>
          </w:p>
        </w:tc>
        <w:tc>
          <w:tcPr>
            <w:tcW w:type="dxa" w:w="71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b w:val="false"/>
                <w:bCs w:val="false"/>
                <w:color w:val="222222"/>
                <w:sz w:val="18"/>
                <w:szCs w:val="18"/>
              </w:rPr>
              <w:t xml:space="preserve">Maxine Jones, GRC Analyst</w:t>
            </w:r>
          </w:p>
        </w:tc>
      </w:tr>
      <w:tr>
        <w:trPr>
          <w:cantSplit/>
        </w:trPr>
        <w:tc>
          <w:tcPr>
            <w:tcW w:type="dxa" w:w="2900"/>
            <w:tcBorders>
              <w:top w:val="single" w:color="BFBFBF" w:sz="4"/>
              <w:left w:val="single" w:color="BFBFBF" w:sz="4"/>
              <w:bottom w:val="single" w:color="BFBFBF" w:sz="4"/>
              <w:right w:val="single" w:color="BFBFBF" w:sz="4"/>
            </w:tcBorders>
            <w:shd w:fill="DCE3F1" w:color="auto" w:val="clear"/>
            <w:tcMar>
              <w:top w:type="dxa" w:w="50"/>
              <w:left w:type="dxa" w:w="90"/>
              <w:bottom w:type="dxa" w:w="50"/>
              <w:right w:type="dxa" w:w="90"/>
            </w:tcMar>
          </w:tcPr>
          <w:p>
            <w:pPr>
              <w:spacing w:after="20" w:before="20"/>
            </w:pPr>
            <w:r>
              <w:rPr>
                <w:rFonts w:ascii="Calibri" w:cs="Calibri" w:eastAsia="Calibri" w:hAnsi="Calibri"/>
                <w:b/>
                <w:bCs/>
                <w:color w:val="222222"/>
                <w:sz w:val="18"/>
                <w:szCs w:val="18"/>
              </w:rPr>
              <w:t xml:space="preserve">Planning Date</w:t>
            </w:r>
          </w:p>
        </w:tc>
        <w:tc>
          <w:tcPr>
            <w:tcW w:type="dxa" w:w="718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pPr>
              <w:spacing w:after="20" w:before="20"/>
            </w:pPr>
            <w:r>
              <w:rPr>
                <w:rFonts w:ascii="Calibri" w:cs="Calibri" w:eastAsia="Calibri" w:hAnsi="Calibri"/>
                <w:b w:val="false"/>
                <w:bCs w:val="false"/>
                <w:color w:val="222222"/>
                <w:sz w:val="18"/>
                <w:szCs w:val="18"/>
              </w:rPr>
              <w:t xml:space="preserve">September 27, 2026</w:t>
            </w:r>
          </w:p>
        </w:tc>
      </w:tr>
      <w:tr>
        <w:trPr>
          <w:cantSplit/>
        </w:trPr>
        <w:tc>
          <w:tcPr>
            <w:tcW w:type="dxa" w:w="2900"/>
            <w:tcBorders>
              <w:top w:val="single" w:color="BFBFBF" w:sz="4"/>
              <w:left w:val="single" w:color="BFBFBF" w:sz="4"/>
              <w:bottom w:val="single" w:color="BFBFBF" w:sz="4"/>
              <w:right w:val="single" w:color="BFBFBF" w:sz="4"/>
            </w:tcBorders>
            <w:shd w:fill="DCE3F1" w:color="auto" w:val="clear"/>
            <w:tcMar>
              <w:top w:type="dxa" w:w="50"/>
              <w:left w:type="dxa" w:w="90"/>
              <w:bottom w:type="dxa" w:w="50"/>
              <w:right w:type="dxa" w:w="90"/>
            </w:tcMar>
          </w:tcPr>
          <w:p>
            <w:pPr>
              <w:spacing w:after="20" w:before="20"/>
            </w:pPr>
            <w:r>
              <w:rPr>
                <w:rFonts w:ascii="Calibri" w:cs="Calibri" w:eastAsia="Calibri" w:hAnsi="Calibri"/>
                <w:b/>
                <w:bCs/>
                <w:color w:val="222222"/>
                <w:sz w:val="18"/>
                <w:szCs w:val="18"/>
              </w:rPr>
              <w:t xml:space="preserve">Assessment Frequency (Control)</w:t>
            </w:r>
          </w:p>
        </w:tc>
        <w:tc>
          <w:tcPr>
            <w:tcW w:type="dxa" w:w="71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b w:val="false"/>
                <w:bCs w:val="false"/>
                <w:color w:val="222222"/>
                <w:sz w:val="18"/>
                <w:szCs w:val="18"/>
              </w:rPr>
              <w:t xml:space="preserve">Annual</w:t>
            </w:r>
          </w:p>
        </w:tc>
      </w:tr>
      <w:tr>
        <w:trPr>
          <w:cantSplit/>
        </w:trPr>
        <w:tc>
          <w:tcPr>
            <w:tcW w:type="dxa" w:w="2900"/>
            <w:tcBorders>
              <w:top w:val="single" w:color="BFBFBF" w:sz="4"/>
              <w:left w:val="single" w:color="BFBFBF" w:sz="4"/>
              <w:bottom w:val="single" w:color="BFBFBF" w:sz="4"/>
              <w:right w:val="single" w:color="BFBFBF" w:sz="4"/>
            </w:tcBorders>
            <w:shd w:fill="DCE3F1" w:color="auto" w:val="clear"/>
            <w:tcMar>
              <w:top w:type="dxa" w:w="50"/>
              <w:left w:type="dxa" w:w="90"/>
              <w:bottom w:type="dxa" w:w="50"/>
              <w:right w:type="dxa" w:w="90"/>
            </w:tcMar>
          </w:tcPr>
          <w:p>
            <w:pPr>
              <w:spacing w:after="20" w:before="20"/>
            </w:pPr>
            <w:r>
              <w:rPr>
                <w:rFonts w:ascii="Calibri" w:cs="Calibri" w:eastAsia="Calibri" w:hAnsi="Calibri"/>
                <w:b/>
                <w:bCs/>
                <w:color w:val="222222"/>
                <w:sz w:val="18"/>
                <w:szCs w:val="18"/>
              </w:rPr>
              <w:t xml:space="preserve">Source Register Rating</w:t>
            </w:r>
          </w:p>
        </w:tc>
        <w:tc>
          <w:tcPr>
            <w:tcW w:type="dxa" w:w="718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pPr>
              <w:spacing w:after="20" w:before="20"/>
            </w:pPr>
            <w:r>
              <w:rPr>
                <w:rFonts w:ascii="Calibri" w:cs="Calibri" w:eastAsia="Calibri" w:hAnsi="Calibri"/>
                <w:b w:val="false"/>
                <w:bCs w:val="false"/>
                <w:color w:val="222222"/>
                <w:sz w:val="18"/>
                <w:szCs w:val="18"/>
              </w:rPr>
              <w:t xml:space="preserve">Not Tested</w:t>
            </w:r>
          </w:p>
        </w:tc>
      </w:tr>
      <w:tr>
        <w:trPr>
          <w:cantSplit/>
        </w:trPr>
        <w:tc>
          <w:tcPr>
            <w:tcW w:type="dxa" w:w="2900"/>
            <w:tcBorders>
              <w:top w:val="single" w:color="BFBFBF" w:sz="4"/>
              <w:left w:val="single" w:color="BFBFBF" w:sz="4"/>
              <w:bottom w:val="single" w:color="BFBFBF" w:sz="4"/>
              <w:right w:val="single" w:color="BFBFBF" w:sz="4"/>
            </w:tcBorders>
            <w:shd w:fill="DCE3F1" w:color="auto" w:val="clear"/>
            <w:tcMar>
              <w:top w:type="dxa" w:w="50"/>
              <w:left w:type="dxa" w:w="90"/>
              <w:bottom w:type="dxa" w:w="50"/>
              <w:right w:type="dxa" w:w="90"/>
            </w:tcMar>
          </w:tcPr>
          <w:p>
            <w:pPr>
              <w:spacing w:after="20" w:before="20"/>
            </w:pPr>
            <w:r>
              <w:rPr>
                <w:rFonts w:ascii="Calibri" w:cs="Calibri" w:eastAsia="Calibri" w:hAnsi="Calibri"/>
                <w:b/>
                <w:bCs/>
                <w:color w:val="222222"/>
                <w:sz w:val="18"/>
                <w:szCs w:val="18"/>
              </w:rPr>
              <w:t xml:space="preserve">Assessment Status</w:t>
            </w:r>
          </w:p>
        </w:tc>
        <w:tc>
          <w:tcPr>
            <w:tcW w:type="dxa" w:w="71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b w:val="false"/>
                <w:bCs w:val="false"/>
                <w:color w:val="222222"/>
                <w:sz w:val="18"/>
                <w:szCs w:val="18"/>
              </w:rPr>
              <w:t xml:space="preserve">Not Tested</w:t>
            </w:r>
          </w:p>
        </w:tc>
      </w:tr>
      <w:tr>
        <w:trPr>
          <w:cantSplit/>
        </w:trPr>
        <w:tc>
          <w:tcPr>
            <w:tcW w:type="dxa" w:w="2900"/>
            <w:tcBorders>
              <w:top w:val="single" w:color="BFBFBF" w:sz="4"/>
              <w:left w:val="single" w:color="BFBFBF" w:sz="4"/>
              <w:bottom w:val="single" w:color="BFBFBF" w:sz="4"/>
              <w:right w:val="single" w:color="BFBFBF" w:sz="4"/>
            </w:tcBorders>
            <w:shd w:fill="DCE3F1" w:color="auto" w:val="clear"/>
            <w:tcMar>
              <w:top w:type="dxa" w:w="50"/>
              <w:left w:type="dxa" w:w="90"/>
              <w:bottom w:type="dxa" w:w="50"/>
              <w:right w:type="dxa" w:w="90"/>
            </w:tcMar>
          </w:tcPr>
          <w:p>
            <w:pPr>
              <w:spacing w:after="20" w:before="20"/>
            </w:pPr>
            <w:r>
              <w:rPr>
                <w:rFonts w:ascii="Calibri" w:cs="Calibri" w:eastAsia="Calibri" w:hAnsi="Calibri"/>
                <w:b/>
                <w:bCs/>
                <w:color w:val="222222"/>
                <w:sz w:val="18"/>
                <w:szCs w:val="18"/>
              </w:rPr>
              <w:t xml:space="preserve">Effectiveness Conclusion</w:t>
            </w:r>
          </w:p>
        </w:tc>
        <w:tc>
          <w:tcPr>
            <w:tcW w:type="dxa" w:w="718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pPr>
              <w:spacing w:after="20" w:before="20"/>
            </w:pPr>
            <w:r>
              <w:rPr>
                <w:rFonts w:ascii="Calibri" w:cs="Calibri" w:eastAsia="Calibri" w:hAnsi="Calibri"/>
                <w:b/>
                <w:bCs/>
                <w:color w:val="222222"/>
                <w:sz w:val="18"/>
                <w:szCs w:val="18"/>
              </w:rPr>
              <w:t xml:space="preserve">Not Concluded</w:t>
            </w:r>
          </w:p>
        </w:tc>
      </w:tr>
      <w:tr>
        <w:trPr>
          <w:cantSplit/>
        </w:trPr>
        <w:tc>
          <w:tcPr>
            <w:tcW w:type="dxa" w:w="2900"/>
            <w:tcBorders>
              <w:top w:val="single" w:color="BFBFBF" w:sz="4"/>
              <w:left w:val="single" w:color="BFBFBF" w:sz="4"/>
              <w:bottom w:val="single" w:color="BFBFBF" w:sz="4"/>
              <w:right w:val="single" w:color="BFBFBF" w:sz="4"/>
            </w:tcBorders>
            <w:shd w:fill="DCE3F1" w:color="auto" w:val="clear"/>
            <w:tcMar>
              <w:top w:type="dxa" w:w="50"/>
              <w:left w:type="dxa" w:w="90"/>
              <w:bottom w:type="dxa" w:w="50"/>
              <w:right w:type="dxa" w:w="90"/>
            </w:tcMar>
          </w:tcPr>
          <w:p>
            <w:pPr>
              <w:spacing w:after="20" w:before="20"/>
            </w:pPr>
            <w:r>
              <w:rPr>
                <w:rFonts w:ascii="Calibri" w:cs="Calibri" w:eastAsia="Calibri" w:hAnsi="Calibri"/>
                <w:b/>
                <w:bCs/>
                <w:color w:val="222222"/>
                <w:sz w:val="18"/>
                <w:szCs w:val="18"/>
              </w:rPr>
              <w:t xml:space="preserve">Artifact Type</w:t>
            </w:r>
          </w:p>
        </w:tc>
        <w:tc>
          <w:tcPr>
            <w:tcW w:type="dxa" w:w="71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b w:val="false"/>
                <w:bCs w:val="false"/>
                <w:color w:val="222222"/>
                <w:sz w:val="18"/>
                <w:szCs w:val="18"/>
              </w:rPr>
              <w:t xml:space="preserve">Assessment plan and evidence request (pre-assessment). Contains no test results.</w:t>
            </w:r>
          </w:p>
        </w:tc>
      </w:tr>
      <w:tr>
        <w:trPr>
          <w:cantSplit/>
        </w:trPr>
        <w:tc>
          <w:tcPr>
            <w:tcW w:type="dxa" w:w="2900"/>
            <w:tcBorders>
              <w:top w:val="single" w:color="BFBFBF" w:sz="4"/>
              <w:left w:val="single" w:color="BFBFBF" w:sz="4"/>
              <w:bottom w:val="single" w:color="BFBFBF" w:sz="4"/>
              <w:right w:val="single" w:color="BFBFBF" w:sz="4"/>
            </w:tcBorders>
            <w:shd w:fill="DCE3F1" w:color="auto" w:val="clear"/>
            <w:tcMar>
              <w:top w:type="dxa" w:w="50"/>
              <w:left w:type="dxa" w:w="90"/>
              <w:bottom w:type="dxa" w:w="50"/>
              <w:right w:type="dxa" w:w="90"/>
            </w:tcMar>
          </w:tcPr>
          <w:p>
            <w:pPr>
              <w:spacing w:after="20" w:before="20"/>
            </w:pPr>
            <w:r>
              <w:rPr>
                <w:rFonts w:ascii="Calibri" w:cs="Calibri" w:eastAsia="Calibri" w:hAnsi="Calibri"/>
                <w:b/>
                <w:bCs/>
                <w:color w:val="222222"/>
                <w:sz w:val="18"/>
                <w:szCs w:val="18"/>
              </w:rPr>
              <w:t xml:space="preserve">Document Status</w:t>
            </w:r>
          </w:p>
        </w:tc>
        <w:tc>
          <w:tcPr>
            <w:tcW w:type="dxa" w:w="718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pPr>
              <w:spacing w:after="20" w:before="20"/>
            </w:pPr>
            <w:r>
              <w:rPr>
                <w:rFonts w:ascii="Calibri" w:cs="Calibri" w:eastAsia="Calibri" w:hAnsi="Calibri"/>
                <w:b w:val="false"/>
                <w:bCs w:val="false"/>
                <w:color w:val="222222"/>
                <w:sz w:val="18"/>
                <w:szCs w:val="18"/>
              </w:rPr>
              <w:t xml:space="preserve">Final — Portfolio Simulation</w:t>
            </w:r>
          </w:p>
        </w:tc>
      </w:tr>
    </w:tbl>
    <w:p>
      <w:pPr>
        <w:pStyle w:val="Heading1"/>
        <w:keepNext/>
        <w:pBdr>
          <w:bottom w:val="single" w:color="1F3864" w:sz="6" w:space="2"/>
        </w:pBdr>
        <w:spacing w:after="120" w:before="280"/>
      </w:pPr>
      <w:r>
        <w:rPr>
          <w:rFonts w:ascii="Calibri" w:cs="Calibri" w:eastAsia="Calibri" w:hAnsi="Calibri"/>
          <w:b/>
          <w:bCs/>
          <w:color w:val="1F3864"/>
          <w:sz w:val="26"/>
          <w:szCs w:val="26"/>
        </w:rPr>
        <w:t xml:space="preserve">2. Purpose</w:t>
      </w:r>
    </w:p>
    <w:p>
      <w:pPr>
        <w:spacing w:after="120" w:before="0" w:line="264"/>
      </w:pPr>
      <w:r>
        <w:rPr>
          <w:rFonts w:ascii="Calibri" w:cs="Calibri" w:eastAsia="Calibri" w:hAnsi="Calibri"/>
          <w:color w:val="222222"/>
          <w:sz w:val="21"/>
          <w:szCs w:val="21"/>
        </w:rPr>
        <w:t xml:space="preserve">This document plans the assessment of the control that requires documented compliance assessments of high-impact AI systems against applicable requirements (CTL-009, ISO 27001 A.5.31, owned by the GRC Team) and requests the evidence needed to perform it. The control is recorded in the MindfulAI Labs Control Register as </w:t>
      </w:r>
      <w:r>
        <w:rPr>
          <w:rFonts w:ascii="Calibri" w:cs="Calibri" w:eastAsia="Calibri" w:hAnsi="Calibri"/>
          <w:b/>
          <w:bCs/>
          <w:color w:val="222222"/>
          <w:sz w:val="21"/>
          <w:szCs w:val="21"/>
        </w:rPr>
        <w:t xml:space="preserve">Not Tested</w:t>
      </w:r>
      <w:r>
        <w:rPr>
          <w:rFonts w:ascii="Calibri" w:cs="Calibri" w:eastAsia="Calibri" w:hAnsi="Calibri"/>
          <w:color w:val="222222"/>
          <w:sz w:val="21"/>
          <w:szCs w:val="21"/>
        </w:rPr>
        <w:t xml:space="preserve">. This artifact therefore sets out how the assessment would be scoped, performed, and evidenced. It does not report an operating result.</w:t>
      </w:r>
    </w:p>
    <w:p>
      <w:pPr>
        <w:spacing w:after="120" w:before="0" w:line="264"/>
      </w:pPr>
      <w:r>
        <w:rPr>
          <w:rFonts w:ascii="Calibri" w:cs="Calibri" w:eastAsia="Calibri" w:hAnsi="Calibri"/>
          <w:color w:val="222222"/>
          <w:sz w:val="21"/>
          <w:szCs w:val="21"/>
        </w:rPr>
        <w:t xml:space="preserve">It defines the scope and assessment criteria, the planned test attributes and procedures, the evidence request (PBC list), planning observations that should be resolved before testing begins, and the conditions under which an effectiveness conclusion could later be reached.</w:t>
      </w:r>
    </w:p>
    <w:p>
      <w:pPr>
        <w:spacing w:after="120" w:before="0" w:line="264"/>
      </w:pPr>
      <w:r>
        <w:rPr>
          <w:rFonts w:ascii="Calibri" w:cs="Calibri" w:eastAsia="Calibri" w:hAnsi="Calibri"/>
          <w:i/>
          <w:iCs/>
          <w:color w:val="222222"/>
          <w:sz w:val="21"/>
          <w:szCs w:val="21"/>
        </w:rPr>
        <w:t xml:space="preserve">No testing has been performed, no evidence has been received or reviewed, and no effectiveness conclusion is drawn. This is a simulated portfolio artifact; no production system, document repository, or governance record was accessed.</w:t>
      </w:r>
    </w:p>
    <w:p>
      <w:pPr>
        <w:pStyle w:val="Heading1"/>
        <w:keepNext/>
        <w:pBdr>
          <w:bottom w:val="single" w:color="1F3864" w:sz="6" w:space="2"/>
        </w:pBdr>
        <w:spacing w:after="120" w:before="280"/>
      </w:pPr>
      <w:r>
        <w:rPr>
          <w:rFonts w:ascii="Calibri" w:cs="Calibri" w:eastAsia="Calibri" w:hAnsi="Calibri"/>
          <w:b/>
          <w:bCs/>
          <w:color w:val="1F3864"/>
          <w:sz w:val="26"/>
          <w:szCs w:val="26"/>
        </w:rPr>
        <w:t xml:space="preserve">3. Scope</w:t>
      </w:r>
    </w:p>
    <w:p>
      <w:pPr>
        <w:keepNext/>
        <w:spacing w:after="80" w:before="160"/>
      </w:pPr>
      <w:r>
        <w:rPr>
          <w:rFonts w:ascii="Calibri" w:cs="Calibri" w:eastAsia="Calibri" w:hAnsi="Calibri"/>
          <w:b/>
          <w:bCs/>
          <w:color w:val="2F5496"/>
          <w:sz w:val="22"/>
          <w:szCs w:val="22"/>
        </w:rPr>
        <w:t xml:space="preserve">3.1 In-scope, supporting, and reference-only assets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2500"/>
        <w:gridCol w:w="1200"/>
        <w:gridCol w:w="1200"/>
        <w:gridCol w:w="1200"/>
        <w:gridCol w:w="2980"/>
      </w:tblGrid>
      <w:tr>
        <w:trPr>
          <w:cantSplit/>
          <w:tblHeader/>
        </w:trPr>
        <w:tc>
          <w:tcPr>
            <w:tcW w:type="dxa" w:w="10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rFonts w:ascii="Calibri" w:cs="Calibri" w:eastAsia="Calibri" w:hAnsi="Calibri"/>
                <w:b/>
                <w:bCs/>
                <w:color w:val="FFFFFF"/>
                <w:sz w:val="17"/>
                <w:szCs w:val="17"/>
              </w:rPr>
              <w:t xml:space="preserve">Asset ID</w:t>
            </w:r>
          </w:p>
        </w:tc>
        <w:tc>
          <w:tcPr>
            <w:tcW w:type="dxa" w:w="25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rFonts w:ascii="Calibri" w:cs="Calibri" w:eastAsia="Calibri" w:hAnsi="Calibri"/>
                <w:b/>
                <w:bCs/>
                <w:color w:val="FFFFFF"/>
                <w:sz w:val="17"/>
                <w:szCs w:val="17"/>
              </w:rPr>
              <w:t xml:space="preserve">Asset Name</w:t>
            </w:r>
          </w:p>
        </w:tc>
        <w:tc>
          <w:tcPr>
            <w:tcW w:type="dxa" w:w="12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rFonts w:ascii="Calibri" w:cs="Calibri" w:eastAsia="Calibri" w:hAnsi="Calibri"/>
                <w:b/>
                <w:bCs/>
                <w:color w:val="FFFFFF"/>
                <w:sz w:val="17"/>
                <w:szCs w:val="17"/>
              </w:rPr>
              <w:t xml:space="preserve">Type</w:t>
            </w:r>
          </w:p>
        </w:tc>
        <w:tc>
          <w:tcPr>
            <w:tcW w:type="dxa" w:w="12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rFonts w:ascii="Calibri" w:cs="Calibri" w:eastAsia="Calibri" w:hAnsi="Calibri"/>
                <w:b/>
                <w:bCs/>
                <w:color w:val="FFFFFF"/>
                <w:sz w:val="17"/>
                <w:szCs w:val="17"/>
              </w:rPr>
              <w:t xml:space="preserve">Class.</w:t>
            </w:r>
          </w:p>
        </w:tc>
        <w:tc>
          <w:tcPr>
            <w:tcW w:type="dxa" w:w="12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rFonts w:ascii="Calibri" w:cs="Calibri" w:eastAsia="Calibri" w:hAnsi="Calibri"/>
                <w:b/>
                <w:bCs/>
                <w:color w:val="FFFFFF"/>
                <w:sz w:val="17"/>
                <w:szCs w:val="17"/>
              </w:rPr>
              <w:t xml:space="preserve">Environment</w:t>
            </w:r>
          </w:p>
        </w:tc>
        <w:tc>
          <w:tcPr>
            <w:tcW w:type="dxa" w:w="298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rFonts w:ascii="Calibri" w:cs="Calibri" w:eastAsia="Calibri" w:hAnsi="Calibri"/>
                <w:b/>
                <w:bCs/>
                <w:color w:val="FFFFFF"/>
                <w:sz w:val="17"/>
                <w:szCs w:val="17"/>
              </w:rPr>
              <w:t xml:space="preserve">Role in This Plan</w:t>
            </w:r>
          </w:p>
        </w:tc>
      </w:tr>
      <w:tr>
        <w:trPr>
          <w:cantSplit/>
        </w:trPr>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AST-001</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Clinical Diagnostic AI Model</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Application</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Critical</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Production</w:t>
            </w:r>
          </w:p>
        </w:tc>
        <w:tc>
          <w:tcPr>
            <w:tcW w:type="dxa" w:w="29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b/>
                <w:bCs/>
                <w:color w:val="222222"/>
                <w:sz w:val="17"/>
                <w:szCs w:val="17"/>
              </w:rPr>
              <w:t xml:space="preserve">Primary in-scope system.</w:t>
            </w:r>
            <w:r>
              <w:rPr>
                <w:rFonts w:ascii="Calibri" w:cs="Calibri" w:eastAsia="Calibri" w:hAnsi="Calibri"/>
                <w:color w:val="222222"/>
                <w:sz w:val="17"/>
                <w:szCs w:val="17"/>
              </w:rPr>
              <w:t xml:space="preserve"> Clinical decision-support system that processes sensitive health information (Owner: Clinical AI &amp; Machine Learning Team).</w:t>
            </w:r>
          </w:p>
        </w:tc>
      </w:tr>
      <w:tr>
        <w:trPr>
          <w:cantSplit/>
        </w:trPr>
        <w:tc>
          <w:tcPr>
            <w:tcW w:type="dxa" w:w="100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AST-002</w:t>
            </w:r>
          </w:p>
        </w:tc>
        <w:tc>
          <w:tcPr>
            <w:tcW w:type="dxa" w:w="250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Financial Risk Training Data Repository</w:t>
            </w:r>
          </w:p>
        </w:tc>
        <w:tc>
          <w:tcPr>
            <w:tcW w:type="dxa" w:w="120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Data Store</w:t>
            </w:r>
          </w:p>
        </w:tc>
        <w:tc>
          <w:tcPr>
            <w:tcW w:type="dxa" w:w="120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High</w:t>
            </w:r>
          </w:p>
        </w:tc>
        <w:tc>
          <w:tcPr>
            <w:tcW w:type="dxa" w:w="120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Production</w:t>
            </w:r>
          </w:p>
        </w:tc>
        <w:tc>
          <w:tcPr>
            <w:tcW w:type="dxa" w:w="298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pPr>
              <w:spacing w:after="20" w:before="20"/>
            </w:pPr>
            <w:r>
              <w:rPr>
                <w:rFonts w:ascii="Calibri" w:cs="Calibri" w:eastAsia="Calibri" w:hAnsi="Calibri"/>
                <w:b/>
                <w:bCs/>
                <w:color w:val="222222"/>
                <w:sz w:val="17"/>
                <w:szCs w:val="17"/>
              </w:rPr>
              <w:t xml:space="preserve">Supporting asset.</w:t>
            </w:r>
            <w:r>
              <w:rPr>
                <w:rFonts w:ascii="Calibri" w:cs="Calibri" w:eastAsia="Calibri" w:hAnsi="Calibri"/>
                <w:color w:val="222222"/>
                <w:sz w:val="17"/>
                <w:szCs w:val="17"/>
              </w:rPr>
              <w:t xml:space="preserve"> Supplies data relevant to the assessment. Not treated as a high-impact AI system in its own right (Owner: Data Science Team).</w:t>
            </w:r>
          </w:p>
        </w:tc>
      </w:tr>
      <w:tr>
        <w:trPr>
          <w:cantSplit/>
        </w:trPr>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AST-006</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Pre-Production AI Validation Environment</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Server</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Medium</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Staging</w:t>
            </w:r>
          </w:p>
        </w:tc>
        <w:tc>
          <w:tcPr>
            <w:tcW w:type="dxa" w:w="29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b/>
                <w:bCs/>
                <w:color w:val="222222"/>
                <w:sz w:val="17"/>
                <w:szCs w:val="17"/>
              </w:rPr>
              <w:t xml:space="preserve">Reference only.</w:t>
            </w:r>
            <w:r>
              <w:rPr>
                <w:rFonts w:ascii="Calibri" w:cs="Calibri" w:eastAsia="Calibri" w:hAnsi="Calibri"/>
                <w:color w:val="222222"/>
                <w:sz w:val="17"/>
                <w:szCs w:val="17"/>
              </w:rPr>
              <w:t xml:space="preserve"> Environment where model validation activity occurs; a possible source of validation evidence (Owner: Model Validation Team).</w:t>
            </w:r>
          </w:p>
        </w:tc>
      </w:tr>
    </w:tbl>
    <w:p>
      <w:pPr>
        <w:spacing w:after="120" w:before="80" w:line="264"/>
      </w:pPr>
      <w:r>
        <w:rPr>
          <w:rFonts w:ascii="Calibri" w:cs="Calibri" w:eastAsia="Calibri" w:hAnsi="Calibri"/>
          <w:i/>
          <w:iCs/>
          <w:color w:val="222222"/>
          <w:sz w:val="18"/>
          <w:szCs w:val="18"/>
        </w:rPr>
        <w:t xml:space="preserve">Asset name, type, classification, environment, and owner are source register data. Asset identifiers use the project’s normalized scheme. The source description for AST-002 is the placeholder value “Production” and was not expanded.</w:t>
      </w:r>
    </w:p>
    <w:p>
      <w:pPr>
        <w:keepNext/>
        <w:spacing w:after="80" w:before="160"/>
      </w:pPr>
      <w:r>
        <w:rPr>
          <w:rFonts w:ascii="Calibri" w:cs="Calibri" w:eastAsia="Calibri" w:hAnsi="Calibri"/>
          <w:b/>
          <w:bCs/>
          <w:color w:val="2F5496"/>
          <w:sz w:val="22"/>
          <w:szCs w:val="22"/>
        </w:rPr>
        <w:t xml:space="preserve">3.2 Portfolio-developed high-impact criteria</w:t>
      </w:r>
    </w:p>
    <w:p>
      <w:pPr>
        <w:spacing w:after="120" w:before="0" w:line="264"/>
      </w:pPr>
      <w:r>
        <w:rPr>
          <w:rFonts w:ascii="Calibri" w:cs="Calibri" w:eastAsia="Calibri" w:hAnsi="Calibri"/>
          <w:color w:val="222222"/>
          <w:sz w:val="21"/>
          <w:szCs w:val="21"/>
        </w:rPr>
        <w:t xml:space="preserve">The Control Register does not define “high-impact AI system.” For purposes of this simulated assessment plan, an AI system may be considered high-impact where its use materially influences clinical or similarly consequential decisions, processes sensitive information, or carries a Critical classification. </w:t>
      </w:r>
      <w:r>
        <w:rPr>
          <w:rFonts w:ascii="Calibri" w:cs="Calibri" w:eastAsia="Calibri" w:hAnsi="Calibri"/>
          <w:b/>
          <w:bCs/>
          <w:color w:val="222222"/>
          <w:sz w:val="21"/>
          <w:szCs w:val="21"/>
        </w:rPr>
        <w:t xml:space="preserve">These criteria are assessment-planning assumptions and are not sourced from the Control Register.</w:t>
      </w:r>
      <w:r>
        <w:rPr>
          <w:rFonts w:ascii="Calibri" w:cs="Calibri" w:eastAsia="Calibri" w:hAnsi="Calibri"/>
          <w:color w:val="222222"/>
          <w:sz w:val="21"/>
          <w:szCs w:val="21"/>
        </w:rPr>
        <w:t xml:space="preserve"> They should be replaced by the organization’s approved definition once confirmed (see APO-01).</w:t>
      </w:r>
    </w:p>
    <w:p>
      <w:pPr>
        <w:spacing w:after="120" w:before="0" w:line="264"/>
      </w:pPr>
      <w:r>
        <w:rPr>
          <w:rFonts w:ascii="Calibri" w:cs="Calibri" w:eastAsia="Calibri" w:hAnsi="Calibri"/>
          <w:color w:val="222222"/>
          <w:sz w:val="21"/>
          <w:szCs w:val="21"/>
        </w:rPr>
        <w:t xml:space="preserve">Applying these criteria, AST-001 is clearly in scope. High classification alone does not make an asset a high-impact AI system; AST-002 therefore remains a supporting asset rather than an assessed system.</w:t>
      </w:r>
    </w:p>
    <w:p>
      <w:pPr>
        <w:keepNext/>
        <w:spacing w:after="80" w:before="160"/>
      </w:pPr>
      <w:r>
        <w:rPr>
          <w:rFonts w:ascii="Calibri" w:cs="Calibri" w:eastAsia="Calibri" w:hAnsi="Calibri"/>
          <w:b/>
          <w:bCs/>
          <w:color w:val="2F5496"/>
          <w:sz w:val="22"/>
          <w:szCs w:val="22"/>
        </w:rPr>
        <w:t xml:space="preserve">3.3 Out of scope</w:t>
      </w:r>
    </w:p>
    <w:p>
      <w:pPr>
        <w:pStyle w:val="ListParagraph"/>
        <w:numPr>
          <w:ilvl w:val="0"/>
          <w:numId w:val="2"/>
        </w:numPr>
        <w:spacing w:after="60" w:line="264"/>
      </w:pPr>
      <w:r>
        <w:rPr>
          <w:rFonts w:ascii="Calibri" w:cs="Calibri" w:eastAsia="Calibri" w:hAnsi="Calibri"/>
          <w:color w:val="222222"/>
          <w:sz w:val="21"/>
          <w:szCs w:val="21"/>
        </w:rPr>
        <w:t xml:space="preserve">AI systems and assets that do not meet the high-impact criteria above, pending confirmation of the organization’s inventory.</w:t>
      </w:r>
    </w:p>
    <w:p>
      <w:pPr>
        <w:pStyle w:val="ListParagraph"/>
        <w:numPr>
          <w:ilvl w:val="0"/>
          <w:numId w:val="2"/>
        </w:numPr>
        <w:spacing w:after="60" w:line="264"/>
      </w:pPr>
      <w:r>
        <w:rPr>
          <w:rFonts w:ascii="Calibri" w:cs="Calibri" w:eastAsia="Calibri" w:hAnsi="Calibri"/>
          <w:color w:val="222222"/>
          <w:sz w:val="21"/>
          <w:szCs w:val="21"/>
        </w:rPr>
        <w:t xml:space="preserve">Evaluation of the technical operation of other controls in the register, which are covered by their own artifacts.</w:t>
      </w:r>
    </w:p>
    <w:p>
      <w:pPr>
        <w:pStyle w:val="ListParagraph"/>
        <w:numPr>
          <w:ilvl w:val="0"/>
          <w:numId w:val="2"/>
        </w:numPr>
        <w:spacing w:after="60" w:line="264"/>
      </w:pPr>
      <w:r>
        <w:rPr>
          <w:rFonts w:ascii="Calibri" w:cs="Calibri" w:eastAsia="Calibri" w:hAnsi="Calibri"/>
          <w:color w:val="222222"/>
          <w:sz w:val="21"/>
          <w:szCs w:val="21"/>
        </w:rPr>
        <w:t xml:space="preserve">Any legal determination of regulatory applicability. This plan identifies candidate requirements only (Section 5).</w:t>
      </w:r>
    </w:p>
    <w:p>
      <w:pPr>
        <w:pStyle w:val="Heading1"/>
        <w:keepNext/>
        <w:pBdr>
          <w:bottom w:val="single" w:color="1F3864" w:sz="6" w:space="2"/>
        </w:pBdr>
        <w:spacing w:after="120" w:before="280"/>
      </w:pPr>
      <w:r>
        <w:rPr>
          <w:rFonts w:ascii="Calibri" w:cs="Calibri" w:eastAsia="Calibri" w:hAnsi="Calibri"/>
          <w:b/>
          <w:bCs/>
          <w:color w:val="1F3864"/>
          <w:sz w:val="26"/>
          <w:szCs w:val="26"/>
        </w:rPr>
        <w:t xml:space="preserve">4. Control Reference &amp; Framework Mapping</w:t>
      </w:r>
    </w:p>
    <w:p>
      <w:pPr>
        <w:spacing w:after="60" w:before="0" w:line="264"/>
      </w:pPr>
      <w:r>
        <w:rPr>
          <w:rFonts w:ascii="Calibri" w:cs="Calibri" w:eastAsia="Calibri" w:hAnsi="Calibri"/>
          <w:b/>
          <w:bCs/>
          <w:color w:val="222222"/>
          <w:sz w:val="21"/>
          <w:szCs w:val="21"/>
        </w:rPr>
        <w:t xml:space="preserve">Control as recorded in the MindfulAI Labs Control Register (source data):</w:t>
      </w:r>
    </w:p>
    <w:p>
      <w:pPr>
        <w:pStyle w:val="ListParagraph"/>
        <w:numPr>
          <w:ilvl w:val="0"/>
          <w:numId w:val="2"/>
        </w:numPr>
        <w:spacing w:after="60" w:line="264"/>
      </w:pPr>
      <w:r>
        <w:rPr>
          <w:rFonts w:ascii="Calibri" w:cs="Calibri" w:eastAsia="Calibri" w:hAnsi="Calibri"/>
          <w:b/>
          <w:bCs/>
          <w:color w:val="222222"/>
          <w:sz w:val="21"/>
          <w:szCs w:val="21"/>
        </w:rPr>
        <w:t xml:space="preserve">Control name:</w:t>
      </w:r>
      <w:r>
        <w:rPr>
          <w:rFonts w:ascii="Calibri" w:cs="Calibri" w:eastAsia="Calibri" w:hAnsi="Calibri"/>
          <w:color w:val="222222"/>
          <w:sz w:val="21"/>
          <w:szCs w:val="21"/>
        </w:rPr>
        <w:t xml:space="preserve"> Perform documented compliance assessments of high-impact AI systems against applicable requirements</w:t>
      </w:r>
    </w:p>
    <w:p>
      <w:pPr>
        <w:pStyle w:val="ListParagraph"/>
        <w:numPr>
          <w:ilvl w:val="0"/>
          <w:numId w:val="2"/>
        </w:numPr>
        <w:spacing w:after="60" w:line="264"/>
      </w:pPr>
      <w:r>
        <w:rPr>
          <w:rFonts w:ascii="Calibri" w:cs="Calibri" w:eastAsia="Calibri" w:hAnsi="Calibri"/>
          <w:b/>
          <w:bCs/>
          <w:color w:val="222222"/>
          <w:sz w:val="21"/>
          <w:szCs w:val="21"/>
        </w:rPr>
        <w:t xml:space="preserve">Framework reference:</w:t>
      </w:r>
      <w:r>
        <w:rPr>
          <w:rFonts w:ascii="Calibri" w:cs="Calibri" w:eastAsia="Calibri" w:hAnsi="Calibri"/>
          <w:color w:val="222222"/>
          <w:sz w:val="21"/>
          <w:szCs w:val="21"/>
        </w:rPr>
        <w:t xml:space="preserve"> ISO 27001 — A.5.31</w:t>
      </w:r>
    </w:p>
    <w:p>
      <w:pPr>
        <w:pStyle w:val="ListParagraph"/>
        <w:numPr>
          <w:ilvl w:val="0"/>
          <w:numId w:val="2"/>
        </w:numPr>
        <w:spacing w:after="60" w:line="264"/>
      </w:pPr>
      <w:r>
        <w:rPr>
          <w:rFonts w:ascii="Calibri" w:cs="Calibri" w:eastAsia="Calibri" w:hAnsi="Calibri"/>
          <w:b/>
          <w:bCs/>
          <w:color w:val="222222"/>
          <w:sz w:val="21"/>
          <w:szCs w:val="21"/>
        </w:rPr>
        <w:t xml:space="preserve">Register rating:</w:t>
      </w:r>
      <w:r>
        <w:rPr>
          <w:rFonts w:ascii="Calibri" w:cs="Calibri" w:eastAsia="Calibri" w:hAnsi="Calibri"/>
          <w:color w:val="222222"/>
          <w:sz w:val="21"/>
          <w:szCs w:val="21"/>
        </w:rPr>
        <w:t xml:space="preserve"> Not Tested</w:t>
      </w:r>
    </w:p>
    <w:p>
      <w:pPr>
        <w:pStyle w:val="ListParagraph"/>
        <w:numPr>
          <w:ilvl w:val="0"/>
          <w:numId w:val="2"/>
        </w:numPr>
        <w:spacing w:after="60" w:line="264"/>
      </w:pPr>
      <w:r>
        <w:rPr>
          <w:rFonts w:ascii="Calibri" w:cs="Calibri" w:eastAsia="Calibri" w:hAnsi="Calibri"/>
          <w:b/>
          <w:bCs/>
          <w:color w:val="222222"/>
          <w:sz w:val="21"/>
          <w:szCs w:val="21"/>
        </w:rPr>
        <w:t xml:space="preserve">Assessment frequency:</w:t>
      </w:r>
      <w:r>
        <w:rPr>
          <w:rFonts w:ascii="Calibri" w:cs="Calibri" w:eastAsia="Calibri" w:hAnsi="Calibri"/>
          <w:color w:val="222222"/>
          <w:sz w:val="21"/>
          <w:szCs w:val="21"/>
        </w:rPr>
        <w:t xml:space="preserve"> Annual</w:t>
      </w:r>
    </w:p>
    <w:p>
      <w:pPr>
        <w:pStyle w:val="ListParagraph"/>
        <w:numPr>
          <w:ilvl w:val="0"/>
          <w:numId w:val="2"/>
        </w:numPr>
        <w:spacing w:after="60" w:line="264"/>
      </w:pPr>
      <w:r>
        <w:rPr>
          <w:rFonts w:ascii="Calibri" w:cs="Calibri" w:eastAsia="Calibri" w:hAnsi="Calibri"/>
          <w:b/>
          <w:bCs/>
          <w:color w:val="222222"/>
          <w:sz w:val="21"/>
          <w:szCs w:val="21"/>
        </w:rPr>
        <w:t xml:space="preserve">Control owner:</w:t>
      </w:r>
      <w:r>
        <w:rPr>
          <w:rFonts w:ascii="Calibri" w:cs="Calibri" w:eastAsia="Calibri" w:hAnsi="Calibri"/>
          <w:color w:val="222222"/>
          <w:sz w:val="21"/>
          <w:szCs w:val="21"/>
        </w:rPr>
        <w:t xml:space="preserve"> GRC Team</w:t>
      </w:r>
    </w:p>
    <w:p>
      <w:pPr>
        <w:pStyle w:val="ListParagraph"/>
        <w:numPr>
          <w:ilvl w:val="0"/>
          <w:numId w:val="2"/>
        </w:numPr>
        <w:spacing w:after="60" w:line="264"/>
      </w:pPr>
      <w:r>
        <w:rPr>
          <w:rFonts w:ascii="Calibri" w:cs="Calibri" w:eastAsia="Calibri" w:hAnsi="Calibri"/>
          <w:b/>
          <w:bCs/>
          <w:color w:val="222222"/>
          <w:sz w:val="21"/>
          <w:szCs w:val="21"/>
        </w:rPr>
        <w:t xml:space="preserve">Control identifier:</w:t>
      </w:r>
      <w:r>
        <w:rPr>
          <w:rFonts w:ascii="Calibri" w:cs="Calibri" w:eastAsia="Calibri" w:hAnsi="Calibri"/>
          <w:color w:val="222222"/>
          <w:sz w:val="21"/>
          <w:szCs w:val="21"/>
        </w:rPr>
        <w:t xml:space="preserve"> assigned as CTL-009 under the project’s normalized ID scheme; the source register did not expose an internal identifier. Description, rationale, and detailed framework references are not exposed in source (null) and were not invented.</w:t>
      </w:r>
    </w:p>
    <w:p>
      <w:pPr>
        <w:keepNext/>
        <w:spacing w:after="80" w:before="160"/>
      </w:pPr>
      <w:r>
        <w:rPr>
          <w:rFonts w:ascii="Calibri" w:cs="Calibri" w:eastAsia="Calibri" w:hAnsi="Calibri"/>
          <w:b/>
          <w:bCs/>
          <w:color w:val="2F5496"/>
          <w:sz w:val="22"/>
          <w:szCs w:val="22"/>
        </w:rPr>
        <w:t xml:space="preserve">Supplemental framework mapping (portfolio-developed)</w:t>
      </w:r>
    </w:p>
    <w:p>
      <w:pPr>
        <w:spacing w:after="80" w:before="0" w:line="264"/>
      </w:pPr>
      <w:r>
        <w:rPr>
          <w:rFonts w:ascii="Calibri" w:cs="Calibri" w:eastAsia="Calibri" w:hAnsi="Calibri"/>
          <w:color w:val="222222"/>
          <w:sz w:val="21"/>
          <w:szCs w:val="21"/>
        </w:rPr>
        <w:t xml:space="preserve">Only ISO 27001 A.5.31 is contained in the source register. The following related references are supplied for portfolio context and would need confirmation before use as assessment criteria.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5280"/>
        <w:gridCol w:w="1400"/>
        <w:gridCol w:w="1600"/>
      </w:tblGrid>
      <w:tr>
        <w:trPr>
          <w:cantSplit/>
          <w:tblHeader/>
        </w:trPr>
        <w:tc>
          <w:tcPr>
            <w:tcW w:type="dxa" w:w="18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rFonts w:ascii="Calibri" w:cs="Calibri" w:eastAsia="Calibri" w:hAnsi="Calibri"/>
                <w:b/>
                <w:bCs/>
                <w:color w:val="FFFFFF"/>
                <w:sz w:val="17"/>
                <w:szCs w:val="17"/>
              </w:rPr>
              <w:t xml:space="preserve">Reference</w:t>
            </w:r>
          </w:p>
        </w:tc>
        <w:tc>
          <w:tcPr>
            <w:tcW w:type="dxa" w:w="528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rFonts w:ascii="Calibri" w:cs="Calibri" w:eastAsia="Calibri" w:hAnsi="Calibri"/>
                <w:b/>
                <w:bCs/>
                <w:color w:val="FFFFFF"/>
                <w:sz w:val="17"/>
                <w:szCs w:val="17"/>
              </w:rPr>
              <w:t xml:space="preserve">Subject (abbreviated)</w:t>
            </w:r>
          </w:p>
        </w:tc>
        <w:tc>
          <w:tcPr>
            <w:tcW w:type="dxa" w:w="14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rFonts w:ascii="Calibri" w:cs="Calibri" w:eastAsia="Calibri" w:hAnsi="Calibri"/>
                <w:b/>
                <w:bCs/>
                <w:color w:val="FFFFFF"/>
                <w:sz w:val="17"/>
                <w:szCs w:val="17"/>
              </w:rPr>
              <w:t xml:space="preserve">Origin</w:t>
            </w:r>
          </w:p>
        </w:tc>
        <w:tc>
          <w:tcPr>
            <w:tcW w:type="dxa" w:w="16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rFonts w:ascii="Calibri" w:cs="Calibri" w:eastAsia="Calibri" w:hAnsi="Calibri"/>
                <w:b/>
                <w:bCs/>
                <w:color w:val="FFFFFF"/>
                <w:sz w:val="17"/>
                <w:szCs w:val="17"/>
              </w:rPr>
              <w:t xml:space="preserve">Used in</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ISO 27001 A.5.31</w:t>
            </w:r>
          </w:p>
        </w:tc>
        <w:tc>
          <w:tcPr>
            <w:tcW w:type="dxa" w:w="52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Legal, statutory, regulatory, and contractual requirements</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Source</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§5, §9</w:t>
            </w:r>
          </w:p>
        </w:tc>
      </w:tr>
      <w:tr>
        <w:trPr>
          <w:cantSplit/>
        </w:trPr>
        <w:tc>
          <w:tcPr>
            <w:tcW w:type="dxa" w:w="180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ISO 27001 A.5.36</w:t>
            </w:r>
          </w:p>
        </w:tc>
        <w:tc>
          <w:tcPr>
            <w:tcW w:type="dxa" w:w="528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Compliance with the organization’s policies, rules, and standards</w:t>
            </w:r>
          </w:p>
        </w:tc>
        <w:tc>
          <w:tcPr>
            <w:tcW w:type="dxa" w:w="140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Supplemental</w:t>
            </w:r>
          </w:p>
        </w:tc>
        <w:tc>
          <w:tcPr>
            <w:tcW w:type="dxa" w:w="160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§9</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NIST CSF 2.0 GV.OC-03</w:t>
            </w:r>
          </w:p>
        </w:tc>
        <w:tc>
          <w:tcPr>
            <w:tcW w:type="dxa" w:w="52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Legal, regulatory, and contractual requirements are understood and managed</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Supplemental</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§5, §9</w:t>
            </w:r>
          </w:p>
        </w:tc>
      </w:tr>
    </w:tbl>
    <w:p>
      <w:pPr>
        <w:pStyle w:val="Heading1"/>
        <w:keepNext/>
        <w:pBdr>
          <w:bottom w:val="single" w:color="1F3864" w:sz="6" w:space="2"/>
        </w:pBdr>
        <w:spacing w:after="120" w:before="280"/>
      </w:pPr>
      <w:r>
        <w:rPr>
          <w:rFonts w:ascii="Calibri" w:cs="Calibri" w:eastAsia="Calibri" w:hAnsi="Calibri"/>
          <w:b/>
          <w:bCs/>
          <w:color w:val="1F3864"/>
          <w:sz w:val="26"/>
          <w:szCs w:val="26"/>
        </w:rPr>
        <w:t xml:space="preserve">5. Applicable-Requirements Baseline</w:t>
      </w:r>
    </w:p>
    <w:p>
      <w:pPr>
        <w:spacing w:after="120" w:before="0" w:line="264"/>
      </w:pPr>
      <w:r>
        <w:rPr>
          <w:rFonts w:ascii="Calibri" w:cs="Calibri" w:eastAsia="Calibri" w:hAnsi="Calibri"/>
          <w:color w:val="222222"/>
          <w:sz w:val="21"/>
          <w:szCs w:val="21"/>
        </w:rPr>
        <w:t xml:space="preserve">The source register establishes ISO 27001 A.5.31 as the control’s framework reference. It does not establish that any particular law, regulation, or contract applies to MindfulAI Labs. The baseline below is therefore a list of candidate requirements to be confirmed, and no regulatory applicability is asserted.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300"/>
        <w:gridCol w:w="2800"/>
        <w:gridCol w:w="2000"/>
        <w:gridCol w:w="2980"/>
      </w:tblGrid>
      <w:tr>
        <w:trPr>
          <w:cantSplit/>
          <w:tblHeader/>
        </w:trPr>
        <w:tc>
          <w:tcPr>
            <w:tcW w:type="dxa" w:w="23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rFonts w:ascii="Calibri" w:cs="Calibri" w:eastAsia="Calibri" w:hAnsi="Calibri"/>
                <w:b/>
                <w:bCs/>
                <w:color w:val="FFFFFF"/>
                <w:sz w:val="17"/>
                <w:szCs w:val="17"/>
              </w:rPr>
              <w:t xml:space="preserve">Candidate Requirement</w:t>
            </w:r>
          </w:p>
        </w:tc>
        <w:tc>
          <w:tcPr>
            <w:tcW w:type="dxa" w:w="28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rFonts w:ascii="Calibri" w:cs="Calibri" w:eastAsia="Calibri" w:hAnsi="Calibri"/>
                <w:b/>
                <w:bCs/>
                <w:color w:val="FFFFFF"/>
                <w:sz w:val="17"/>
                <w:szCs w:val="17"/>
              </w:rPr>
              <w:t xml:space="preserve">Basis for Consideration</w:t>
            </w:r>
          </w:p>
        </w:tc>
        <w:tc>
          <w:tcPr>
            <w:tcW w:type="dxa" w:w="20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rFonts w:ascii="Calibri" w:cs="Calibri" w:eastAsia="Calibri" w:hAnsi="Calibri"/>
                <w:b/>
                <w:bCs/>
                <w:color w:val="FFFFFF"/>
                <w:sz w:val="17"/>
                <w:szCs w:val="17"/>
              </w:rPr>
              <w:t xml:space="preserve">Applicability</w:t>
            </w:r>
          </w:p>
        </w:tc>
        <w:tc>
          <w:tcPr>
            <w:tcW w:type="dxa" w:w="298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rFonts w:ascii="Calibri" w:cs="Calibri" w:eastAsia="Calibri" w:hAnsi="Calibri"/>
                <w:b/>
                <w:bCs/>
                <w:color w:val="FFFFFF"/>
                <w:sz w:val="17"/>
                <w:szCs w:val="17"/>
              </w:rPr>
              <w:t xml:space="preserve">Validation Needed</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ISO 27001 A.5.31</w:t>
            </w:r>
          </w:p>
        </w:tc>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Source control reference</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Source-established</w:t>
            </w:r>
          </w:p>
        </w:tc>
        <w:tc>
          <w:tcPr>
            <w:tcW w:type="dxa" w:w="29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No</w:t>
            </w:r>
          </w:p>
        </w:tc>
      </w:tr>
      <w:tr>
        <w:trPr>
          <w:cantSplit/>
        </w:trPr>
        <w:tc>
          <w:tcPr>
            <w:tcW w:type="dxa" w:w="230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Internal AI policies</w:t>
            </w:r>
          </w:p>
        </w:tc>
        <w:tc>
          <w:tcPr>
            <w:tcW w:type="dxa" w:w="280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MindfulAI governance records (POL-001, POL-002, POL-006; see below)</w:t>
            </w:r>
          </w:p>
        </w:tc>
        <w:tc>
          <w:tcPr>
            <w:tcW w:type="dxa" w:w="200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Candidate internal criteria</w:t>
            </w:r>
          </w:p>
        </w:tc>
        <w:tc>
          <w:tcPr>
            <w:tcW w:type="dxa" w:w="298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Confirm approved versions</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Privacy requirements</w:t>
            </w:r>
          </w:p>
        </w:tc>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Sensitive-data processing context (AST-001 processes sensitive health information)</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To Be Determined</w:t>
            </w:r>
          </w:p>
        </w:tc>
        <w:tc>
          <w:tcPr>
            <w:tcW w:type="dxa" w:w="29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Yes — confirm with Privacy and Compliance Team</w:t>
            </w:r>
          </w:p>
        </w:tc>
      </w:tr>
      <w:tr>
        <w:trPr>
          <w:cantSplit/>
        </w:trPr>
        <w:tc>
          <w:tcPr>
            <w:tcW w:type="dxa" w:w="230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Sector / regulatory requirements</w:t>
            </w:r>
          </w:p>
        </w:tc>
        <w:tc>
          <w:tcPr>
            <w:tcW w:type="dxa" w:w="280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Clinical AI context</w:t>
            </w:r>
          </w:p>
        </w:tc>
        <w:tc>
          <w:tcPr>
            <w:tcW w:type="dxa" w:w="200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To Be Determined</w:t>
            </w:r>
          </w:p>
        </w:tc>
        <w:tc>
          <w:tcPr>
            <w:tcW w:type="dxa" w:w="298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Yes — confirm through legal / compliance determination</w:t>
            </w:r>
          </w:p>
        </w:tc>
      </w:tr>
    </w:tbl>
    <w:p>
      <w:pPr>
        <w:keepNext/>
        <w:spacing w:after="80" w:before="160"/>
      </w:pPr>
      <w:r>
        <w:rPr>
          <w:rFonts w:ascii="Calibri" w:cs="Calibri" w:eastAsia="Calibri" w:hAnsi="Calibri"/>
          <w:b/>
          <w:bCs/>
          <w:color w:val="2F5496"/>
          <w:sz w:val="22"/>
          <w:szCs w:val="22"/>
        </w:rPr>
        <w:t xml:space="preserve">Internal policy records considered as candidate criteria (source data)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4880"/>
        <w:gridCol w:w="1800"/>
        <w:gridCol w:w="2200"/>
      </w:tblGrid>
      <w:tr>
        <w:trPr>
          <w:cantSplit/>
          <w:tblHeader/>
        </w:trPr>
        <w:tc>
          <w:tcPr>
            <w:tcW w:type="dxa" w:w="12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rFonts w:ascii="Calibri" w:cs="Calibri" w:eastAsia="Calibri" w:hAnsi="Calibri"/>
                <w:b/>
                <w:bCs/>
                <w:color w:val="FFFFFF"/>
                <w:sz w:val="17"/>
                <w:szCs w:val="17"/>
              </w:rPr>
              <w:t xml:space="preserve">Policy ID</w:t>
            </w:r>
          </w:p>
        </w:tc>
        <w:tc>
          <w:tcPr>
            <w:tcW w:type="dxa" w:w="488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rFonts w:ascii="Calibri" w:cs="Calibri" w:eastAsia="Calibri" w:hAnsi="Calibri"/>
                <w:b/>
                <w:bCs/>
                <w:color w:val="FFFFFF"/>
                <w:sz w:val="17"/>
                <w:szCs w:val="17"/>
              </w:rPr>
              <w:t xml:space="preserve">Title</w:t>
            </w:r>
          </w:p>
        </w:tc>
        <w:tc>
          <w:tcPr>
            <w:tcW w:type="dxa" w:w="18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rFonts w:ascii="Calibri" w:cs="Calibri" w:eastAsia="Calibri" w:hAnsi="Calibri"/>
                <w:b/>
                <w:bCs/>
                <w:color w:val="FFFFFF"/>
                <w:sz w:val="17"/>
                <w:szCs w:val="17"/>
              </w:rPr>
              <w:t xml:space="preserve">Owner</w:t>
            </w:r>
          </w:p>
        </w:tc>
        <w:tc>
          <w:tcPr>
            <w:tcW w:type="dxa" w:w="22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rFonts w:ascii="Calibri" w:cs="Calibri" w:eastAsia="Calibri" w:hAnsi="Calibri"/>
                <w:b/>
                <w:bCs/>
                <w:color w:val="FFFFFF"/>
                <w:sz w:val="17"/>
                <w:szCs w:val="17"/>
              </w:rPr>
              <w:t xml:space="preserve">Status (source)</w:t>
            </w:r>
          </w:p>
        </w:tc>
      </w:tr>
      <w:tr>
        <w:trPr>
          <w:cantSplit/>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POL-001</w:t>
            </w:r>
          </w:p>
        </w:tc>
        <w:tc>
          <w:tcPr>
            <w:tcW w:type="dxa" w:w="48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AI Model Risk Management and Validation Policy</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AI Governance Team</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Approved</w:t>
            </w:r>
          </w:p>
        </w:tc>
      </w:tr>
      <w:tr>
        <w:trPr>
          <w:cantSplit/>
        </w:trPr>
        <w:tc>
          <w:tcPr>
            <w:tcW w:type="dxa" w:w="120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POL-002</w:t>
            </w:r>
          </w:p>
        </w:tc>
        <w:tc>
          <w:tcPr>
            <w:tcW w:type="dxa" w:w="488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AI Data Governance and Quality Policy</w:t>
            </w:r>
          </w:p>
        </w:tc>
        <w:tc>
          <w:tcPr>
            <w:tcW w:type="dxa" w:w="180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Data Governance Team</w:t>
            </w:r>
          </w:p>
        </w:tc>
        <w:tc>
          <w:tcPr>
            <w:tcW w:type="dxa" w:w="220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Approved</w:t>
            </w:r>
          </w:p>
        </w:tc>
      </w:tr>
      <w:tr>
        <w:trPr>
          <w:cantSplit/>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POL-006</w:t>
            </w:r>
          </w:p>
        </w:tc>
        <w:tc>
          <w:tcPr>
            <w:tcW w:type="dxa" w:w="48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Responsible AI and Human Oversight Policy</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AI Governance Team</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Under Review</w:t>
            </w:r>
          </w:p>
        </w:tc>
      </w:tr>
    </w:tbl>
    <w:p>
      <w:pPr>
        <w:spacing w:after="120" w:before="80" w:line="264"/>
      </w:pPr>
      <w:r>
        <w:rPr>
          <w:rFonts w:ascii="Calibri" w:cs="Calibri" w:eastAsia="Calibri" w:hAnsi="Calibri"/>
          <w:i/>
          <w:iCs/>
          <w:color w:val="222222"/>
          <w:sz w:val="18"/>
          <w:szCs w:val="18"/>
        </w:rPr>
        <w:t xml:space="preserve">The version and approval date of each policy would need to be confirmed before use as formal assessment criteria. POL-006 is not yet final (see APO-02).</w:t>
      </w:r>
    </w:p>
    <w:p>
      <w:pPr>
        <w:pStyle w:val="Heading1"/>
        <w:keepNext/>
        <w:pBdr>
          <w:bottom w:val="single" w:color="1F3864" w:sz="6" w:space="2"/>
        </w:pBdr>
        <w:spacing w:after="120" w:before="280"/>
      </w:pPr>
      <w:r>
        <w:rPr>
          <w:rFonts w:ascii="Calibri" w:cs="Calibri" w:eastAsia="Calibri" w:hAnsi="Calibri"/>
          <w:b/>
          <w:bCs/>
          <w:color w:val="1F3864"/>
          <w:sz w:val="26"/>
          <w:szCs w:val="26"/>
        </w:rPr>
        <w:t xml:space="preserve">6. Linked Register Risk &amp; Coverage Gap</w:t>
      </w:r>
    </w:p>
    <w:p>
      <w:pPr>
        <w:keepNext/>
        <w:spacing w:after="80" w:before="160"/>
      </w:pPr>
      <w:r>
        <w:rPr>
          <w:rFonts w:ascii="Calibri" w:cs="Calibri" w:eastAsia="Calibri" w:hAnsi="Calibri"/>
          <w:b/>
          <w:bCs/>
          <w:color w:val="2F5496"/>
          <w:sz w:val="22"/>
          <w:szCs w:val="22"/>
        </w:rPr>
        <w:t xml:space="preserve">6.1 Nearest related risk (imperfect mapping)</w:t>
      </w:r>
    </w:p>
    <w:p>
      <w:pPr>
        <w:spacing w:after="120" w:before="0" w:line="264"/>
      </w:pPr>
      <w:r>
        <w:rPr>
          <w:rFonts w:ascii="Calibri" w:cs="Calibri" w:eastAsia="Calibri" w:hAnsi="Calibri"/>
          <w:color w:val="222222"/>
          <w:sz w:val="21"/>
          <w:szCs w:val="21"/>
        </w:rPr>
        <w:t xml:space="preserve">The nearest related risk in the Risk Register is “Incomplete validation exploits insufficient testing coverage causing defective models to advance from Pre-Production AI Validation Environment” (Category: Compliance; Likelihood 3 × Impact 4; Status: In Progress; Owner: Model Validation Team). The source record has no identifier, so the risk is referenced here by title until the project-wide ID normalization is completed.</w:t>
      </w:r>
    </w:p>
    <w:p>
      <w:pPr>
        <w:spacing w:after="120" w:before="0" w:line="264"/>
      </w:pPr>
      <w:r>
        <w:rPr>
          <w:rFonts w:ascii="Calibri" w:cs="Calibri" w:eastAsia="Calibri" w:hAnsi="Calibri"/>
          <w:b/>
          <w:bCs/>
          <w:color w:val="222222"/>
          <w:sz w:val="21"/>
          <w:szCs w:val="21"/>
        </w:rPr>
        <w:t xml:space="preserve">Limitation:</w:t>
      </w:r>
      <w:r>
        <w:rPr>
          <w:rFonts w:ascii="Calibri" w:cs="Calibri" w:eastAsia="Calibri" w:hAnsi="Calibri"/>
          <w:color w:val="222222"/>
          <w:sz w:val="21"/>
          <w:szCs w:val="21"/>
        </w:rPr>
        <w:t xml:space="preserve"> this risk concerns gaps in model testing coverage. It does not address failure to identify, assess, or maintain compliance with applicable requirements. The mapping is therefore imperfect and is used only because it is the closest available record.</w:t>
      </w:r>
    </w:p>
    <w:p>
      <w:pPr>
        <w:keepNext/>
        <w:spacing w:after="80" w:before="160"/>
      </w:pPr>
      <w:r>
        <w:rPr>
          <w:rFonts w:ascii="Calibri" w:cs="Calibri" w:eastAsia="Calibri" w:hAnsi="Calibri"/>
          <w:b/>
          <w:bCs/>
          <w:color w:val="2F5496"/>
          <w:sz w:val="22"/>
          <w:szCs w:val="22"/>
        </w:rPr>
        <w:t xml:space="preserve">6.2 Risk coverage gap</w:t>
      </w:r>
    </w:p>
    <w:p>
      <w:pPr>
        <w:spacing w:after="120" w:before="0" w:line="264"/>
      </w:pPr>
      <w:r>
        <w:rPr>
          <w:rFonts w:ascii="Calibri" w:cs="Calibri" w:eastAsia="Calibri" w:hAnsi="Calibri"/>
          <w:color w:val="222222"/>
          <w:sz w:val="21"/>
          <w:szCs w:val="21"/>
        </w:rPr>
        <w:t xml:space="preserve">The Risk Register does not contain a risk specifically addressing failure to identify, assess, or maintain compliance with applicable legal, regulatory, contractual, or internal requirements for high-impact AI systems.</w:t>
      </w:r>
    </w:p>
    <w:p>
      <w:pPr>
        <w:spacing w:after="120" w:before="0" w:line="264"/>
      </w:pPr>
      <w:r>
        <w:rPr>
          <w:rFonts w:ascii="Calibri" w:cs="Calibri" w:eastAsia="Calibri" w:hAnsi="Calibri"/>
          <w:b/>
          <w:bCs/>
          <w:color w:val="222222"/>
          <w:sz w:val="21"/>
          <w:szCs w:val="21"/>
        </w:rPr>
        <w:t xml:space="preserve">Recommendation:</w:t>
      </w:r>
      <w:r>
        <w:rPr>
          <w:rFonts w:ascii="Calibri" w:cs="Calibri" w:eastAsia="Calibri" w:hAnsi="Calibri"/>
          <w:color w:val="222222"/>
          <w:sz w:val="21"/>
          <w:szCs w:val="21"/>
        </w:rPr>
        <w:t xml:space="preserve"> Consider establishing a dedicated compliance risk owned by the GRC Team and linking CTL-009 as a mitigating control. No identifier is assigned to this proposed risk in this document, as it is not in the register. The recommendation is carried to the Findings &amp; Remediation Tracker (see APO-03).</w:t>
      </w:r>
    </w:p>
    <w:p>
      <w:pPr>
        <w:keepNext/>
        <w:spacing w:after="80" w:before="160"/>
      </w:pPr>
      <w:r>
        <w:rPr>
          <w:rFonts w:ascii="Calibri" w:cs="Calibri" w:eastAsia="Calibri" w:hAnsi="Calibri"/>
          <w:b/>
          <w:bCs/>
          <w:color w:val="2F5496"/>
          <w:sz w:val="22"/>
          <w:szCs w:val="22"/>
        </w:rPr>
        <w:t xml:space="preserve">6.3 Risk appetite context</w:t>
      </w:r>
    </w:p>
    <w:p>
      <w:pPr>
        <w:spacing w:after="120" w:before="0" w:line="264"/>
      </w:pPr>
      <w:r>
        <w:rPr>
          <w:rFonts w:ascii="Calibri" w:cs="Calibri" w:eastAsia="Calibri" w:hAnsi="Calibri"/>
          <w:color w:val="222222"/>
          <w:sz w:val="21"/>
          <w:szCs w:val="21"/>
        </w:rPr>
        <w:t xml:space="preserve">No dedicated Compliance risk-appetite statement is represented in the available appetite records. RAS-001 (AI Governance; Cautious; tolerance 8 of 25) is contextually related but is not treated as a Compliance appetite statement. No residual risk score is available for a compliance risk, so no comparison against tolerance is made (see APO-04).</w:t>
      </w:r>
    </w:p>
    <w:p>
      <w:pPr>
        <w:keepNext/>
        <w:spacing w:after="80" w:before="160"/>
      </w:pPr>
      <w:r>
        <w:rPr>
          <w:rFonts w:ascii="Calibri" w:cs="Calibri" w:eastAsia="Calibri" w:hAnsi="Calibri"/>
          <w:b/>
          <w:bCs/>
          <w:color w:val="2F5496"/>
          <w:sz w:val="22"/>
          <w:szCs w:val="22"/>
        </w:rPr>
        <w:t xml:space="preserve">6.4 Supporting indicator (context only)</w:t>
      </w:r>
    </w:p>
    <w:p>
      <w:pPr>
        <w:spacing w:after="120" w:before="0" w:line="264"/>
      </w:pPr>
      <w:r>
        <w:rPr>
          <w:rFonts w:ascii="Calibri" w:cs="Calibri" w:eastAsia="Calibri" w:hAnsi="Calibri"/>
          <w:color w:val="222222"/>
          <w:sz w:val="21"/>
          <w:szCs w:val="21"/>
        </w:rPr>
        <w:t xml:space="preserve">KRI-001 (Critical AI Validation Exceptions; owner: Clinical AI &amp; ML Team) concerns validation of clinical AI and provides general governance context for AST-001. </w:t>
      </w:r>
      <w:r>
        <w:rPr>
          <w:rFonts w:ascii="Calibri" w:cs="Calibri" w:eastAsia="Calibri" w:hAnsi="Calibri"/>
          <w:b/>
          <w:bCs/>
          <w:color w:val="222222"/>
          <w:sz w:val="21"/>
          <w:szCs w:val="21"/>
        </w:rPr>
        <w:t xml:space="preserve">It does not measure CTL-009 and is not evidence that annual compliance assessments occur.</w:t>
      </w:r>
    </w:p>
    <w:p>
      <w:pPr>
        <w:pStyle w:val="Heading1"/>
        <w:keepNext/>
        <w:pBdr>
          <w:bottom w:val="single" w:color="1F3864" w:sz="6" w:space="2"/>
        </w:pBdr>
        <w:spacing w:after="120" w:before="280"/>
      </w:pPr>
      <w:r>
        <w:rPr>
          <w:rFonts w:ascii="Calibri" w:cs="Calibri" w:eastAsia="Calibri" w:hAnsi="Calibri"/>
          <w:b/>
          <w:bCs/>
          <w:color w:val="1F3864"/>
          <w:sz w:val="26"/>
          <w:szCs w:val="26"/>
        </w:rPr>
        <w:t xml:space="preserve">7. Assessment Approach (Planned)</w:t>
      </w:r>
    </w:p>
    <w:p>
      <w:pPr>
        <w:spacing w:after="80" w:before="0" w:line="264"/>
      </w:pPr>
      <w:r>
        <w:rPr>
          <w:rFonts w:ascii="Calibri" w:cs="Calibri" w:eastAsia="Calibri" w:hAnsi="Calibri"/>
          <w:color w:val="222222"/>
          <w:sz w:val="21"/>
          <w:szCs w:val="21"/>
        </w:rPr>
        <w:t xml:space="preserve">The following approach describes how the assessment would be performed once evidence is provided. None of these steps has been performed.</w:t>
      </w:r>
    </w:p>
    <w:p>
      <w:pPr>
        <w:spacing w:after="80" w:before="0" w:line="264"/>
      </w:pPr>
      <w:r>
        <w:rPr>
          <w:rFonts w:ascii="Calibri" w:cs="Calibri" w:eastAsia="Calibri" w:hAnsi="Calibri"/>
          <w:b/>
          <w:bCs/>
          <w:color w:val="222222"/>
          <w:sz w:val="21"/>
          <w:szCs w:val="21"/>
        </w:rPr>
        <w:t xml:space="preserve">Step 1 — Confirm scope and criteria.</w:t>
      </w:r>
      <w:r>
        <w:rPr>
          <w:rFonts w:ascii="Calibri" w:cs="Calibri" w:eastAsia="Calibri" w:hAnsi="Calibri"/>
          <w:color w:val="222222"/>
          <w:sz w:val="21"/>
          <w:szCs w:val="21"/>
        </w:rPr>
        <w:t xml:space="preserve"> Confirm the high-impact definition, the system inventory, and the applicable-requirements baseline with the GRC Team, and resolve the planning observations in Section 11.</w:t>
      </w:r>
    </w:p>
    <w:p>
      <w:pPr>
        <w:spacing w:after="80" w:before="0" w:line="264"/>
      </w:pPr>
      <w:r>
        <w:rPr>
          <w:rFonts w:ascii="Calibri" w:cs="Calibri" w:eastAsia="Calibri" w:hAnsi="Calibri"/>
          <w:b/>
          <w:bCs/>
          <w:color w:val="222222"/>
          <w:sz w:val="21"/>
          <w:szCs w:val="21"/>
        </w:rPr>
        <w:t xml:space="preserve">Step 2 — Issue the evidence request.</w:t>
      </w:r>
      <w:r>
        <w:rPr>
          <w:rFonts w:ascii="Calibri" w:cs="Calibri" w:eastAsia="Calibri" w:hAnsi="Calibri"/>
          <w:color w:val="222222"/>
          <w:sz w:val="21"/>
          <w:szCs w:val="21"/>
        </w:rPr>
        <w:t xml:space="preserve"> Issue the PBC list in Section 12 to the control owner and other named providers, with agreed response dates.</w:t>
      </w:r>
    </w:p>
    <w:p>
      <w:pPr>
        <w:spacing w:after="80" w:before="0" w:line="264"/>
      </w:pPr>
      <w:r>
        <w:rPr>
          <w:rFonts w:ascii="Calibri" w:cs="Calibri" w:eastAsia="Calibri" w:hAnsi="Calibri"/>
          <w:b/>
          <w:bCs/>
          <w:color w:val="222222"/>
          <w:sz w:val="21"/>
          <w:szCs w:val="21"/>
        </w:rPr>
        <w:t xml:space="preserve">Step 3 — Inspect design.</w:t>
      </w:r>
      <w:r>
        <w:rPr>
          <w:rFonts w:ascii="Calibri" w:cs="Calibri" w:eastAsia="Calibri" w:hAnsi="Calibri"/>
          <w:color w:val="222222"/>
          <w:sz w:val="21"/>
          <w:szCs w:val="21"/>
        </w:rPr>
        <w:t xml:space="preserve"> Compare the documented assessment procedure and criteria with the control statement and ISO 27001 A.5.31.</w:t>
      </w:r>
    </w:p>
    <w:p>
      <w:pPr>
        <w:spacing w:after="80" w:before="0" w:line="264"/>
      </w:pPr>
      <w:r>
        <w:rPr>
          <w:rFonts w:ascii="Calibri" w:cs="Calibri" w:eastAsia="Calibri" w:hAnsi="Calibri"/>
          <w:b/>
          <w:bCs/>
          <w:color w:val="222222"/>
          <w:sz w:val="21"/>
          <w:szCs w:val="21"/>
        </w:rPr>
        <w:t xml:space="preserve">Step 4 — Test operation.</w:t>
      </w:r>
      <w:r>
        <w:rPr>
          <w:rFonts w:ascii="Calibri" w:cs="Calibri" w:eastAsia="Calibri" w:hAnsi="Calibri"/>
          <w:color w:val="222222"/>
          <w:sz w:val="21"/>
          <w:szCs w:val="21"/>
        </w:rPr>
        <w:t xml:space="preserve"> For each in-scope system, inspect the annual assessment record and the attributes in Section 9. Evaluate evidence for completeness, timeliness, approval, and follow-up.</w:t>
      </w:r>
    </w:p>
    <w:p>
      <w:pPr>
        <w:spacing w:after="80" w:before="0" w:line="264"/>
      </w:pPr>
      <w:r>
        <w:rPr>
          <w:rFonts w:ascii="Calibri" w:cs="Calibri" w:eastAsia="Calibri" w:hAnsi="Calibri"/>
          <w:b/>
          <w:bCs/>
          <w:color w:val="222222"/>
          <w:sz w:val="21"/>
          <w:szCs w:val="21"/>
        </w:rPr>
        <w:t xml:space="preserve">Step 5 — Evaluate and report.</w:t>
      </w:r>
      <w:r>
        <w:rPr>
          <w:rFonts w:ascii="Calibri" w:cs="Calibri" w:eastAsia="Calibri" w:hAnsi="Calibri"/>
          <w:color w:val="222222"/>
          <w:sz w:val="21"/>
          <w:szCs w:val="21"/>
        </w:rPr>
        <w:t xml:space="preserve"> Record any exceptions, agree factual accuracy with the control owner, and determine whether an effectiveness conclusion is supportable.</w:t>
      </w:r>
    </w:p>
    <w:p>
      <w:pPr>
        <w:spacing w:after="120" w:before="0" w:line="264"/>
      </w:pPr>
      <w:r>
        <w:rPr>
          <w:rFonts w:ascii="Calibri" w:cs="Calibri" w:eastAsia="Calibri" w:hAnsi="Calibri"/>
          <w:b/>
          <w:bCs/>
          <w:color w:val="222222"/>
          <w:sz w:val="21"/>
          <w:szCs w:val="21"/>
        </w:rPr>
        <w:t xml:space="preserve">Independence consideration.</w:t>
      </w:r>
      <w:r>
        <w:rPr>
          <w:rFonts w:ascii="Calibri" w:cs="Calibri" w:eastAsia="Calibri" w:hAnsi="Calibri"/>
          <w:color w:val="222222"/>
          <w:sz w:val="21"/>
          <w:szCs w:val="21"/>
        </w:rPr>
        <w:t xml:space="preserve"> The control is owned by the GRC Team, and the assessor in this simulation is a GRC Analyst. In a live engagement, review of the assessment work should be performed by a reviewer independent of control operation.</w:t>
      </w:r>
    </w:p>
    <w:p>
      <w:pPr>
        <w:pStyle w:val="Heading1"/>
        <w:keepNext/>
        <w:pBdr>
          <w:bottom w:val="single" w:color="1F3864" w:sz="6" w:space="2"/>
        </w:pBdr>
        <w:spacing w:after="120" w:before="280"/>
      </w:pPr>
      <w:r>
        <w:rPr>
          <w:rFonts w:ascii="Calibri" w:cs="Calibri" w:eastAsia="Calibri" w:hAnsi="Calibri"/>
          <w:b/>
          <w:bCs/>
          <w:color w:val="1F3864"/>
          <w:sz w:val="26"/>
          <w:szCs w:val="26"/>
        </w:rPr>
        <w:t xml:space="preserve">8. Roles &amp; Responsibilities (Planned)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1700"/>
        <w:gridCol w:w="1700"/>
        <w:gridCol w:w="1700"/>
        <w:gridCol w:w="1980"/>
      </w:tblGrid>
      <w:tr>
        <w:trPr>
          <w:cantSplit/>
          <w:tblHeader/>
        </w:trPr>
        <w:tc>
          <w:tcPr>
            <w:tcW w:type="dxa" w:w="30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rFonts w:ascii="Calibri" w:cs="Calibri" w:eastAsia="Calibri" w:hAnsi="Calibri"/>
                <w:b/>
                <w:bCs/>
                <w:color w:val="FFFFFF"/>
                <w:sz w:val="17"/>
                <w:szCs w:val="17"/>
              </w:rPr>
              <w:t xml:space="preserve">Activity</w:t>
            </w:r>
          </w:p>
        </w:tc>
        <w:tc>
          <w:tcPr>
            <w:tcW w:type="dxa" w:w="17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rFonts w:ascii="Calibri" w:cs="Calibri" w:eastAsia="Calibri" w:hAnsi="Calibri"/>
                <w:b/>
                <w:bCs/>
                <w:color w:val="FFFFFF"/>
                <w:sz w:val="17"/>
                <w:szCs w:val="17"/>
              </w:rPr>
              <w:t xml:space="preserve">GRC Analyst (Assessor)</w:t>
            </w:r>
          </w:p>
        </w:tc>
        <w:tc>
          <w:tcPr>
            <w:tcW w:type="dxa" w:w="17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rFonts w:ascii="Calibri" w:cs="Calibri" w:eastAsia="Calibri" w:hAnsi="Calibri"/>
                <w:b/>
                <w:bCs/>
                <w:color w:val="FFFFFF"/>
                <w:sz w:val="17"/>
                <w:szCs w:val="17"/>
              </w:rPr>
              <w:t xml:space="preserve">Control Owner (GRC Team)</w:t>
            </w:r>
          </w:p>
        </w:tc>
        <w:tc>
          <w:tcPr>
            <w:tcW w:type="dxa" w:w="17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rFonts w:ascii="Calibri" w:cs="Calibri" w:eastAsia="Calibri" w:hAnsi="Calibri"/>
                <w:b/>
                <w:bCs/>
                <w:color w:val="FFFFFF"/>
                <w:sz w:val="17"/>
                <w:szCs w:val="17"/>
              </w:rPr>
              <w:t xml:space="preserve">Reviewer / QA</w:t>
            </w:r>
          </w:p>
        </w:tc>
        <w:tc>
          <w:tcPr>
            <w:tcW w:type="dxa" w:w="198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rFonts w:ascii="Calibri" w:cs="Calibri" w:eastAsia="Calibri" w:hAnsi="Calibri"/>
                <w:b/>
                <w:bCs/>
                <w:color w:val="FFFFFF"/>
                <w:sz w:val="17"/>
                <w:szCs w:val="17"/>
              </w:rPr>
              <w:t xml:space="preserve">Approver</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Confirm scope and criteria</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R</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A / C</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C</w:t>
            </w:r>
          </w:p>
        </w:tc>
        <w:tc>
          <w:tcPr>
            <w:tcW w:type="dxa" w:w="19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I</w:t>
            </w:r>
          </w:p>
        </w:tc>
      </w:tr>
      <w:tr>
        <w:trPr>
          <w:cantSplit/>
        </w:trPr>
        <w:tc>
          <w:tcPr>
            <w:tcW w:type="dxa" w:w="300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Issue evidence request</w:t>
            </w:r>
          </w:p>
        </w:tc>
        <w:tc>
          <w:tcPr>
            <w:tcW w:type="dxa" w:w="170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R</w:t>
            </w:r>
          </w:p>
        </w:tc>
        <w:tc>
          <w:tcPr>
            <w:tcW w:type="dxa" w:w="170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I</w:t>
            </w:r>
          </w:p>
        </w:tc>
        <w:tc>
          <w:tcPr>
            <w:tcW w:type="dxa" w:w="170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I</w:t>
            </w:r>
          </w:p>
        </w:tc>
        <w:tc>
          <w:tcPr>
            <w:tcW w:type="dxa" w:w="198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I</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Provide evidence</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C</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R / A</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w:t>
            </w:r>
          </w:p>
        </w:tc>
        <w:tc>
          <w:tcPr>
            <w:tcW w:type="dxa" w:w="19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w:t>
            </w:r>
          </w:p>
        </w:tc>
      </w:tr>
      <w:tr>
        <w:trPr>
          <w:cantSplit/>
        </w:trPr>
        <w:tc>
          <w:tcPr>
            <w:tcW w:type="dxa" w:w="300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Perform assessment procedures</w:t>
            </w:r>
          </w:p>
        </w:tc>
        <w:tc>
          <w:tcPr>
            <w:tcW w:type="dxa" w:w="170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R</w:t>
            </w:r>
          </w:p>
        </w:tc>
        <w:tc>
          <w:tcPr>
            <w:tcW w:type="dxa" w:w="170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C</w:t>
            </w:r>
          </w:p>
        </w:tc>
        <w:tc>
          <w:tcPr>
            <w:tcW w:type="dxa" w:w="170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A</w:t>
            </w:r>
          </w:p>
        </w:tc>
        <w:tc>
          <w:tcPr>
            <w:tcW w:type="dxa" w:w="198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I</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Report results</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R</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C</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R</w:t>
            </w:r>
          </w:p>
        </w:tc>
        <w:tc>
          <w:tcPr>
            <w:tcW w:type="dxa" w:w="19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A</w:t>
            </w:r>
          </w:p>
        </w:tc>
      </w:tr>
    </w:tbl>
    <w:p>
      <w:pPr>
        <w:spacing w:after="120" w:before="80" w:line="264"/>
      </w:pPr>
      <w:r>
        <w:rPr>
          <w:rFonts w:ascii="Calibri" w:cs="Calibri" w:eastAsia="Calibri" w:hAnsi="Calibri"/>
          <w:i/>
          <w:iCs/>
          <w:color w:val="222222"/>
          <w:sz w:val="18"/>
          <w:szCs w:val="18"/>
        </w:rPr>
        <w:t xml:space="preserve">R = Responsible, A = Accountable, C = Consulted, I = Informed. Portfolio-developed planning matrix; named individuals are not assigned.</w:t>
      </w:r>
    </w:p>
    <w:p>
      <w:pPr>
        <w:pStyle w:val="Heading1"/>
        <w:keepNext/>
        <w:pBdr>
          <w:bottom w:val="single" w:color="1F3864" w:sz="6" w:space="2"/>
        </w:pBdr>
        <w:spacing w:after="120" w:before="280"/>
      </w:pPr>
      <w:r>
        <w:rPr>
          <w:rFonts w:ascii="Calibri" w:cs="Calibri" w:eastAsia="Calibri" w:hAnsi="Calibri"/>
          <w:b/>
          <w:bCs/>
          <w:color w:val="1F3864"/>
          <w:sz w:val="26"/>
          <w:szCs w:val="26"/>
        </w:rPr>
        <w:t xml:space="preserve">9. Planned Test Attributes &amp; Procedures</w:t>
      </w:r>
    </w:p>
    <w:p>
      <w:pPr>
        <w:spacing w:after="80" w:before="0" w:line="264"/>
      </w:pPr>
      <w:r>
        <w:rPr>
          <w:rFonts w:ascii="Calibri" w:cs="Calibri" w:eastAsia="Calibri" w:hAnsi="Calibri"/>
          <w:color w:val="222222"/>
          <w:sz w:val="21"/>
          <w:szCs w:val="21"/>
        </w:rPr>
        <w:t xml:space="preserve">The attributes below would be tested for each in-scope system. All are marked </w:t>
      </w:r>
      <w:r>
        <w:rPr>
          <w:rFonts w:ascii="Calibri" w:cs="Calibri" w:eastAsia="Calibri" w:hAnsi="Calibri"/>
          <w:b/>
          <w:bCs/>
          <w:color w:val="222222"/>
          <w:sz w:val="21"/>
          <w:szCs w:val="21"/>
        </w:rPr>
        <w:t xml:space="preserve">Not Tested — Planned</w:t>
      </w:r>
      <w:r>
        <w:rPr>
          <w:rFonts w:ascii="Calibri" w:cs="Calibri" w:eastAsia="Calibri" w:hAnsi="Calibri"/>
          <w:color w:val="222222"/>
          <w:sz w:val="21"/>
          <w:szCs w:val="21"/>
        </w:rPr>
        <w:t xml:space="preserve">. No results, sample outcomes, or exception rates are recorded.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4380"/>
        <w:gridCol w:w="1100"/>
        <w:gridCol w:w="1400"/>
      </w:tblGrid>
      <w:tr>
        <w:trPr>
          <w:cantSplit/>
          <w:tblHeader/>
        </w:trPr>
        <w:tc>
          <w:tcPr>
            <w:tcW w:type="dxa" w:w="7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rFonts w:ascii="Calibri" w:cs="Calibri" w:eastAsia="Calibri" w:hAnsi="Calibri"/>
                <w:b/>
                <w:bCs/>
                <w:color w:val="FFFFFF"/>
                <w:sz w:val="17"/>
                <w:szCs w:val="17"/>
              </w:rPr>
              <w:t xml:space="preserve">#</w:t>
            </w:r>
          </w:p>
        </w:tc>
        <w:tc>
          <w:tcPr>
            <w:tcW w:type="dxa" w:w="25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rFonts w:ascii="Calibri" w:cs="Calibri" w:eastAsia="Calibri" w:hAnsi="Calibri"/>
                <w:b/>
                <w:bCs/>
                <w:color w:val="FFFFFF"/>
                <w:sz w:val="17"/>
                <w:szCs w:val="17"/>
              </w:rPr>
              <w:t xml:space="preserve">Attribute</w:t>
            </w:r>
          </w:p>
        </w:tc>
        <w:tc>
          <w:tcPr>
            <w:tcW w:type="dxa" w:w="438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rFonts w:ascii="Calibri" w:cs="Calibri" w:eastAsia="Calibri" w:hAnsi="Calibri"/>
                <w:b/>
                <w:bCs/>
                <w:color w:val="FFFFFF"/>
                <w:sz w:val="17"/>
                <w:szCs w:val="17"/>
              </w:rPr>
              <w:t xml:space="preserve">Planned Procedure</w:t>
            </w:r>
          </w:p>
        </w:tc>
        <w:tc>
          <w:tcPr>
            <w:tcW w:type="dxa" w:w="11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rFonts w:ascii="Calibri" w:cs="Calibri" w:eastAsia="Calibri" w:hAnsi="Calibri"/>
                <w:b/>
                <w:bCs/>
                <w:color w:val="FFFFFF"/>
                <w:sz w:val="17"/>
                <w:szCs w:val="17"/>
              </w:rPr>
              <w:t xml:space="preserve">PBC Items</w:t>
            </w:r>
          </w:p>
        </w:tc>
        <w:tc>
          <w:tcPr>
            <w:tcW w:type="dxa" w:w="14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rFonts w:ascii="Calibri" w:cs="Calibri" w:eastAsia="Calibri" w:hAnsi="Calibri"/>
                <w:b/>
                <w:bCs/>
                <w:color w:val="FFFFFF"/>
                <w:sz w:val="17"/>
                <w:szCs w:val="17"/>
              </w:rPr>
              <w:t xml:space="preserve">Status</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A1</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In-scope system population is defined</w:t>
            </w:r>
          </w:p>
        </w:tc>
        <w:tc>
          <w:tcPr>
            <w:tcW w:type="dxa" w:w="43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Inspect the high-impact system inventory and classification method; reconcile to the asset register.</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PBC-01</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Not Tested — Planned</w:t>
            </w:r>
          </w:p>
        </w:tc>
      </w:tr>
      <w:tr>
        <w:trPr>
          <w:cantSplit/>
        </w:trPr>
        <w:tc>
          <w:tcPr>
            <w:tcW w:type="dxa" w:w="70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A2</w:t>
            </w:r>
          </w:p>
        </w:tc>
        <w:tc>
          <w:tcPr>
            <w:tcW w:type="dxa" w:w="250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Applicable requirements are identified and maintained</w:t>
            </w:r>
          </w:p>
        </w:tc>
        <w:tc>
          <w:tcPr>
            <w:tcW w:type="dxa" w:w="438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Inspect the applicable-requirements register and the support for applicability determinations.</w:t>
            </w:r>
          </w:p>
        </w:tc>
        <w:tc>
          <w:tcPr>
            <w:tcW w:type="dxa" w:w="110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PBC-02, 11</w:t>
            </w:r>
          </w:p>
        </w:tc>
        <w:tc>
          <w:tcPr>
            <w:tcW w:type="dxa" w:w="140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Not Tested — Planned</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A3</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An annual documented assessment exists for each in-scope system</w:t>
            </w:r>
          </w:p>
        </w:tc>
        <w:tc>
          <w:tcPr>
            <w:tcW w:type="dxa" w:w="43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Inspect the current-cycle assessment records and workpapers; confirm completion within the annual cycle.</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PBC-03, 06</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Not Tested — Planned</w:t>
            </w:r>
          </w:p>
        </w:tc>
      </w:tr>
      <w:tr>
        <w:trPr>
          <w:cantSplit/>
        </w:trPr>
        <w:tc>
          <w:tcPr>
            <w:tcW w:type="dxa" w:w="70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A4</w:t>
            </w:r>
          </w:p>
        </w:tc>
        <w:tc>
          <w:tcPr>
            <w:tcW w:type="dxa" w:w="250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Assessments are performed against defined criteria</w:t>
            </w:r>
          </w:p>
        </w:tc>
        <w:tc>
          <w:tcPr>
            <w:tcW w:type="dxa" w:w="438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Inspect the criteria used (approved policies, requirements, control mappings) and confirm coverage of the in-scope system.</w:t>
            </w:r>
          </w:p>
        </w:tc>
        <w:tc>
          <w:tcPr>
            <w:tcW w:type="dxa" w:w="110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PBC-04, 05, 06</w:t>
            </w:r>
          </w:p>
        </w:tc>
        <w:tc>
          <w:tcPr>
            <w:tcW w:type="dxa" w:w="140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Not Tested — Planned</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A5</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Gaps are recorded, owned, and tracked</w:t>
            </w:r>
          </w:p>
        </w:tc>
        <w:tc>
          <w:tcPr>
            <w:tcW w:type="dxa" w:w="43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Inspect gap and remediation records for owner, due date, and status.</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PBC-07</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Not Tested — Planned</w:t>
            </w:r>
          </w:p>
        </w:tc>
      </w:tr>
      <w:tr>
        <w:trPr>
          <w:cantSplit/>
        </w:trPr>
        <w:tc>
          <w:tcPr>
            <w:tcW w:type="dxa" w:w="70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A6</w:t>
            </w:r>
          </w:p>
        </w:tc>
        <w:tc>
          <w:tcPr>
            <w:tcW w:type="dxa" w:w="250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Results are reported and approved</w:t>
            </w:r>
          </w:p>
        </w:tc>
        <w:tc>
          <w:tcPr>
            <w:tcW w:type="dxa" w:w="438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Inspect governance reporting and management review or sign-off.</w:t>
            </w:r>
          </w:p>
        </w:tc>
        <w:tc>
          <w:tcPr>
            <w:tcW w:type="dxa" w:w="110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PBC-08, 09</w:t>
            </w:r>
          </w:p>
        </w:tc>
        <w:tc>
          <w:tcPr>
            <w:tcW w:type="dxa" w:w="140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Not Tested — Planned</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A7</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Material changes trigger reassessment</w:t>
            </w:r>
          </w:p>
        </w:tc>
        <w:tc>
          <w:tcPr>
            <w:tcW w:type="dxa" w:w="43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Inspect change records for the in-scope system and whether reassessment was considered.</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PBC-10</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Not Tested — Planned</w:t>
            </w:r>
          </w:p>
        </w:tc>
      </w:tr>
      <w:tr>
        <w:trPr>
          <w:cantSplit/>
        </w:trPr>
        <w:tc>
          <w:tcPr>
            <w:tcW w:type="dxa" w:w="70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A8</w:t>
            </w:r>
          </w:p>
        </w:tc>
        <w:tc>
          <w:tcPr>
            <w:tcW w:type="dxa" w:w="250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Prior-period actions are followed up</w:t>
            </w:r>
          </w:p>
        </w:tc>
        <w:tc>
          <w:tcPr>
            <w:tcW w:type="dxa" w:w="438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Inspect prior-period follow-up and closure evidence.</w:t>
            </w:r>
          </w:p>
        </w:tc>
        <w:tc>
          <w:tcPr>
            <w:tcW w:type="dxa" w:w="110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PBC-03, 12</w:t>
            </w:r>
          </w:p>
        </w:tc>
        <w:tc>
          <w:tcPr>
            <w:tcW w:type="dxa" w:w="140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Not Tested — Planned</w:t>
            </w:r>
          </w:p>
        </w:tc>
      </w:tr>
    </w:tbl>
    <w:p>
      <w:pPr>
        <w:pStyle w:val="Heading1"/>
        <w:keepNext/>
        <w:pBdr>
          <w:bottom w:val="single" w:color="1F3864" w:sz="6" w:space="2"/>
        </w:pBdr>
        <w:spacing w:after="120" w:before="280"/>
      </w:pPr>
      <w:r>
        <w:rPr>
          <w:rFonts w:ascii="Calibri" w:cs="Calibri" w:eastAsia="Calibri" w:hAnsi="Calibri"/>
          <w:b/>
          <w:bCs/>
          <w:color w:val="1F3864"/>
          <w:sz w:val="26"/>
          <w:szCs w:val="26"/>
        </w:rPr>
        <w:t xml:space="preserve">10. Sampling &amp; Timing Approach (Planned)</w:t>
      </w:r>
    </w:p>
    <w:p>
      <w:pPr>
        <w:pStyle w:val="ListParagraph"/>
        <w:numPr>
          <w:ilvl w:val="0"/>
          <w:numId w:val="2"/>
        </w:numPr>
        <w:spacing w:after="60" w:line="264"/>
      </w:pPr>
      <w:r>
        <w:rPr>
          <w:rFonts w:ascii="Calibri" w:cs="Calibri" w:eastAsia="Calibri" w:hAnsi="Calibri"/>
          <w:b/>
          <w:bCs/>
          <w:color w:val="222222"/>
          <w:sz w:val="21"/>
          <w:szCs w:val="21"/>
        </w:rPr>
        <w:t xml:space="preserve">Population:</w:t>
      </w:r>
      <w:r>
        <w:rPr>
          <w:rFonts w:ascii="Calibri" w:cs="Calibri" w:eastAsia="Calibri" w:hAnsi="Calibri"/>
          <w:color w:val="222222"/>
          <w:sz w:val="21"/>
          <w:szCs w:val="21"/>
        </w:rPr>
        <w:t xml:space="preserve"> the in-scope population is expected to be small (AST-001 confirmed as in scope). The plan is to test all in-scope systems and not to sample, subject to the inventory received under PBC-01.</w:t>
      </w:r>
    </w:p>
    <w:p>
      <w:pPr>
        <w:pStyle w:val="ListParagraph"/>
        <w:numPr>
          <w:ilvl w:val="0"/>
          <w:numId w:val="2"/>
        </w:numPr>
        <w:spacing w:after="60" w:line="264"/>
      </w:pPr>
      <w:r>
        <w:rPr>
          <w:rFonts w:ascii="Calibri" w:cs="Calibri" w:eastAsia="Calibri" w:hAnsi="Calibri"/>
          <w:b/>
          <w:bCs/>
          <w:color w:val="222222"/>
          <w:sz w:val="21"/>
          <w:szCs w:val="21"/>
        </w:rPr>
        <w:t xml:space="preserve">Period:</w:t>
      </w:r>
      <w:r>
        <w:rPr>
          <w:rFonts w:ascii="Calibri" w:cs="Calibri" w:eastAsia="Calibri" w:hAnsi="Calibri"/>
          <w:color w:val="222222"/>
          <w:sz w:val="21"/>
          <w:szCs w:val="21"/>
        </w:rPr>
        <w:t xml:space="preserve"> the most recent completed annual assessment cycle, plus any assessment triggered by a material change.</w:t>
      </w:r>
    </w:p>
    <w:p>
      <w:pPr>
        <w:pStyle w:val="ListParagraph"/>
        <w:numPr>
          <w:ilvl w:val="0"/>
          <w:numId w:val="2"/>
        </w:numPr>
        <w:spacing w:after="60" w:line="264"/>
      </w:pPr>
      <w:r>
        <w:rPr>
          <w:rFonts w:ascii="Calibri" w:cs="Calibri" w:eastAsia="Calibri" w:hAnsi="Calibri"/>
          <w:b/>
          <w:bCs/>
          <w:color w:val="222222"/>
          <w:sz w:val="21"/>
          <w:szCs w:val="21"/>
        </w:rPr>
        <w:t xml:space="preserve">Sequence (relative timing, proposed):</w:t>
      </w:r>
      <w:r>
        <w:rPr>
          <w:rFonts w:ascii="Calibri" w:cs="Calibri" w:eastAsia="Calibri" w:hAnsi="Calibri"/>
          <w:color w:val="222222"/>
          <w:sz w:val="21"/>
          <w:szCs w:val="21"/>
        </w:rPr>
        <w:t xml:space="preserve"> scope confirmation → evidence request issued → evidence received → design and operating procedures → reporting. Response dates would be agreed with evidence providers.</w:t>
      </w:r>
    </w:p>
    <w:p>
      <w:pPr>
        <w:pStyle w:val="Heading1"/>
        <w:keepNext/>
        <w:pBdr>
          <w:bottom w:val="single" w:color="1F3864" w:sz="6" w:space="2"/>
        </w:pBdr>
        <w:spacing w:after="120" w:before="280"/>
      </w:pPr>
      <w:r>
        <w:rPr>
          <w:rFonts w:ascii="Calibri" w:cs="Calibri" w:eastAsia="Calibri" w:hAnsi="Calibri"/>
          <w:b/>
          <w:bCs/>
          <w:color w:val="1F3864"/>
          <w:sz w:val="26"/>
          <w:szCs w:val="26"/>
        </w:rPr>
        <w:t xml:space="preserve">11. Assessment Planning Observations</w:t>
      </w:r>
    </w:p>
    <w:p>
      <w:pPr>
        <w:spacing w:after="80" w:before="0" w:line="264"/>
      </w:pPr>
      <w:r>
        <w:rPr>
          <w:rFonts w:ascii="Calibri" w:cs="Calibri" w:eastAsia="Calibri" w:hAnsi="Calibri"/>
          <w:color w:val="222222"/>
          <w:sz w:val="21"/>
          <w:szCs w:val="21"/>
        </w:rPr>
        <w:t xml:space="preserve">These are planning observations identified from the source records before any testing. They are </w:t>
      </w:r>
      <w:r>
        <w:rPr>
          <w:rFonts w:ascii="Calibri" w:cs="Calibri" w:eastAsia="Calibri" w:hAnsi="Calibri"/>
          <w:b/>
          <w:bCs/>
          <w:color w:val="222222"/>
          <w:sz w:val="21"/>
          <w:szCs w:val="21"/>
        </w:rPr>
        <w:t xml:space="preserve">not findings and not control deficiencies</w:t>
      </w:r>
      <w:r>
        <w:rPr>
          <w:rFonts w:ascii="Calibri" w:cs="Calibri" w:eastAsia="Calibri" w:hAnsi="Calibri"/>
          <w:color w:val="222222"/>
          <w:sz w:val="21"/>
          <w:szCs w:val="21"/>
        </w:rPr>
        <w:t xml:space="preserve">, and they do not affect an effectiveness conclusion because none is being drawn.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4680"/>
        <w:gridCol w:w="2500"/>
      </w:tblGrid>
      <w:tr>
        <w:trPr>
          <w:cantSplit/>
          <w:tblHeader/>
        </w:trPr>
        <w:tc>
          <w:tcPr>
            <w:tcW w:type="dxa" w:w="9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rFonts w:ascii="Calibri" w:cs="Calibri" w:eastAsia="Calibri" w:hAnsi="Calibri"/>
                <w:b/>
                <w:bCs/>
                <w:color w:val="FFFFFF"/>
                <w:sz w:val="17"/>
                <w:szCs w:val="17"/>
              </w:rPr>
              <w:t xml:space="preserve">ID</w:t>
            </w:r>
          </w:p>
        </w:tc>
        <w:tc>
          <w:tcPr>
            <w:tcW w:type="dxa" w:w="20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rFonts w:ascii="Calibri" w:cs="Calibri" w:eastAsia="Calibri" w:hAnsi="Calibri"/>
                <w:b/>
                <w:bCs/>
                <w:color w:val="FFFFFF"/>
                <w:sz w:val="17"/>
                <w:szCs w:val="17"/>
              </w:rPr>
              <w:t xml:space="preserve">Title</w:t>
            </w:r>
          </w:p>
        </w:tc>
        <w:tc>
          <w:tcPr>
            <w:tcW w:type="dxa" w:w="468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rFonts w:ascii="Calibri" w:cs="Calibri" w:eastAsia="Calibri" w:hAnsi="Calibri"/>
                <w:b/>
                <w:bCs/>
                <w:color w:val="FFFFFF"/>
                <w:sz w:val="17"/>
                <w:szCs w:val="17"/>
              </w:rPr>
              <w:t xml:space="preserve">Observation</w:t>
            </w:r>
          </w:p>
        </w:tc>
        <w:tc>
          <w:tcPr>
            <w:tcW w:type="dxa" w:w="25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rFonts w:ascii="Calibri" w:cs="Calibri" w:eastAsia="Calibri" w:hAnsi="Calibri"/>
                <w:b/>
                <w:bCs/>
                <w:color w:val="FFFFFF"/>
                <w:sz w:val="17"/>
                <w:szCs w:val="17"/>
              </w:rPr>
              <w:t xml:space="preserve">Planning Action</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APO-01</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Incomplete Control Documentation</w:t>
            </w:r>
          </w:p>
        </w:tc>
        <w:tc>
          <w:tcPr>
            <w:tcW w:type="dxa" w:w="46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The source control record does not expose a description or rationale, and the register does not define “high-impact AI system.”</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Confirm the authoritative control description, high-impact definition, and expected evidence before testing.</w:t>
            </w:r>
          </w:p>
        </w:tc>
      </w:tr>
      <w:tr>
        <w:trPr>
          <w:cantSplit/>
        </w:trPr>
        <w:tc>
          <w:tcPr>
            <w:tcW w:type="dxa" w:w="90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APO-02</w:t>
            </w:r>
          </w:p>
        </w:tc>
        <w:tc>
          <w:tcPr>
            <w:tcW w:type="dxa" w:w="200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Responsible AI Policy Not Finalized</w:t>
            </w:r>
          </w:p>
        </w:tc>
        <w:tc>
          <w:tcPr>
            <w:tcW w:type="dxa" w:w="468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POL-006 (Responsible AI and Human Oversight Policy) has a source status of Under Review.</w:t>
            </w:r>
          </w:p>
        </w:tc>
        <w:tc>
          <w:tcPr>
            <w:tcW w:type="dxa" w:w="250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Confirm the approved version and status before using it as formal assessment criteria.</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APO-03</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Compliance Risk Coverage Gap</w:t>
            </w:r>
          </w:p>
        </w:tc>
        <w:tc>
          <w:tcPr>
            <w:tcW w:type="dxa" w:w="46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No dedicated risk addresses failure to assess high-impact AI systems against applicable requirements.</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Consider a dedicated compliance risk owned by the GRC Team, linked to CTL-009. Carry to the Findings &amp; Remediation Tracker.</w:t>
            </w:r>
          </w:p>
        </w:tc>
      </w:tr>
      <w:tr>
        <w:trPr>
          <w:cantSplit/>
        </w:trPr>
        <w:tc>
          <w:tcPr>
            <w:tcW w:type="dxa" w:w="90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APO-04</w:t>
            </w:r>
          </w:p>
        </w:tc>
        <w:tc>
          <w:tcPr>
            <w:tcW w:type="dxa" w:w="200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Compliance Risk Appetite Coverage</w:t>
            </w:r>
          </w:p>
        </w:tc>
        <w:tc>
          <w:tcPr>
            <w:tcW w:type="dxa" w:w="468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No dedicated Compliance appetite statement is represented in the available risk-appetite records.</w:t>
            </w:r>
          </w:p>
        </w:tc>
        <w:tc>
          <w:tcPr>
            <w:tcW w:type="dxa" w:w="250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Confirm whether compliance risk is governed under another approved appetite category or whether a dedicated statement should be established.</w:t>
            </w:r>
          </w:p>
        </w:tc>
      </w:tr>
    </w:tbl>
    <w:p>
      <w:pPr>
        <w:pStyle w:val="Heading1"/>
        <w:keepNext/>
        <w:pBdr>
          <w:bottom w:val="single" w:color="1F3864" w:sz="6" w:space="2"/>
        </w:pBdr>
        <w:spacing w:after="120" w:before="280"/>
      </w:pPr>
      <w:r>
        <w:rPr>
          <w:rFonts w:ascii="Calibri" w:cs="Calibri" w:eastAsia="Calibri" w:hAnsi="Calibri"/>
          <w:b/>
          <w:bCs/>
          <w:color w:val="1F3864"/>
          <w:sz w:val="26"/>
          <w:szCs w:val="26"/>
        </w:rPr>
        <w:t xml:space="preserve">12. Evidence Request (PBC List)</w:t>
      </w:r>
    </w:p>
    <w:p>
      <w:pPr>
        <w:spacing w:after="80" w:before="0" w:line="264"/>
      </w:pPr>
      <w:r>
        <w:rPr>
          <w:rFonts w:ascii="Calibri" w:cs="Calibri" w:eastAsia="Calibri" w:hAnsi="Calibri"/>
          <w:color w:val="222222"/>
          <w:sz w:val="21"/>
          <w:szCs w:val="21"/>
        </w:rPr>
        <w:t xml:space="preserve">The following evidence is requested to perform the assessment. For this simulated artifact, no evidence has been generated, attached, or reviewed. “Requested from” is a portfolio-proposed provider, to be confirmed.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700"/>
        <w:gridCol w:w="2000"/>
        <w:gridCol w:w="3580"/>
      </w:tblGrid>
      <w:tr>
        <w:trPr>
          <w:cantSplit/>
          <w:tblHeader/>
        </w:trPr>
        <w:tc>
          <w:tcPr>
            <w:tcW w:type="dxa" w:w="8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rFonts w:ascii="Calibri" w:cs="Calibri" w:eastAsia="Calibri" w:hAnsi="Calibri"/>
                <w:b/>
                <w:bCs/>
                <w:color w:val="FFFFFF"/>
                <w:sz w:val="17"/>
                <w:szCs w:val="17"/>
              </w:rPr>
              <w:t xml:space="preserve">ID</w:t>
            </w:r>
          </w:p>
        </w:tc>
        <w:tc>
          <w:tcPr>
            <w:tcW w:type="dxa" w:w="30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rFonts w:ascii="Calibri" w:cs="Calibri" w:eastAsia="Calibri" w:hAnsi="Calibri"/>
                <w:b/>
                <w:bCs/>
                <w:color w:val="FFFFFF"/>
                <w:sz w:val="17"/>
                <w:szCs w:val="17"/>
              </w:rPr>
              <w:t xml:space="preserve">Evidence Item</w:t>
            </w:r>
          </w:p>
        </w:tc>
        <w:tc>
          <w:tcPr>
            <w:tcW w:type="dxa" w:w="7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rFonts w:ascii="Calibri" w:cs="Calibri" w:eastAsia="Calibri" w:hAnsi="Calibri"/>
                <w:b/>
                <w:bCs/>
                <w:color w:val="FFFFFF"/>
                <w:sz w:val="17"/>
                <w:szCs w:val="17"/>
              </w:rPr>
              <w:t xml:space="preserve">Attr.</w:t>
            </w:r>
          </w:p>
        </w:tc>
        <w:tc>
          <w:tcPr>
            <w:tcW w:type="dxa" w:w="20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rFonts w:ascii="Calibri" w:cs="Calibri" w:eastAsia="Calibri" w:hAnsi="Calibri"/>
                <w:b/>
                <w:bCs/>
                <w:color w:val="FFFFFF"/>
                <w:sz w:val="17"/>
                <w:szCs w:val="17"/>
              </w:rPr>
              <w:t xml:space="preserve">Requested From (proposed)</w:t>
            </w:r>
          </w:p>
        </w:tc>
        <w:tc>
          <w:tcPr>
            <w:tcW w:type="dxa" w:w="358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rFonts w:ascii="Calibri" w:cs="Calibri" w:eastAsia="Calibri" w:hAnsi="Calibri"/>
                <w:b/>
                <w:bCs/>
                <w:color w:val="FFFFFF"/>
                <w:sz w:val="17"/>
                <w:szCs w:val="17"/>
              </w:rPr>
              <w:t xml:space="preserve">Status</w:t>
            </w:r>
          </w:p>
        </w:tc>
      </w:tr>
      <w:tr>
        <w:trPr>
          <w:cantSplit/>
        </w:trPr>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PBC-01</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High-impact AI system inventory and classification methodology</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A1</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GRC Team / AI Governance Team</w:t>
            </w:r>
          </w:p>
        </w:tc>
        <w:tc>
          <w:tcPr>
            <w:tcW w:type="dxa" w:w="35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Evidence Required — Not Provided (Simulated Requirement)</w:t>
            </w:r>
          </w:p>
        </w:tc>
      </w:tr>
      <w:tr>
        <w:trPr>
          <w:cantSplit/>
        </w:trPr>
        <w:tc>
          <w:tcPr>
            <w:tcW w:type="dxa" w:w="80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PBC-02</w:t>
            </w:r>
          </w:p>
        </w:tc>
        <w:tc>
          <w:tcPr>
            <w:tcW w:type="dxa" w:w="300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Current applicable-requirements register</w:t>
            </w:r>
          </w:p>
        </w:tc>
        <w:tc>
          <w:tcPr>
            <w:tcW w:type="dxa" w:w="70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A2</w:t>
            </w:r>
          </w:p>
        </w:tc>
        <w:tc>
          <w:tcPr>
            <w:tcW w:type="dxa" w:w="200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GRC Team</w:t>
            </w:r>
          </w:p>
        </w:tc>
        <w:tc>
          <w:tcPr>
            <w:tcW w:type="dxa" w:w="358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Evidence Required — Not Provided (Simulated Requirement)</w:t>
            </w:r>
          </w:p>
        </w:tc>
      </w:tr>
      <w:tr>
        <w:trPr>
          <w:cantSplit/>
        </w:trPr>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PBC-03</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Prior annual compliance assessment(s), if any</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A3, A8</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GRC Team</w:t>
            </w:r>
          </w:p>
        </w:tc>
        <w:tc>
          <w:tcPr>
            <w:tcW w:type="dxa" w:w="35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Evidence Required — Not Provided (Simulated Requirement)</w:t>
            </w:r>
          </w:p>
        </w:tc>
      </w:tr>
      <w:tr>
        <w:trPr>
          <w:cantSplit/>
        </w:trPr>
        <w:tc>
          <w:tcPr>
            <w:tcW w:type="dxa" w:w="80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PBC-04</w:t>
            </w:r>
          </w:p>
        </w:tc>
        <w:tc>
          <w:tcPr>
            <w:tcW w:type="dxa" w:w="300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Approved POL-001, POL-002, and the applicable final Responsible AI policy</w:t>
            </w:r>
          </w:p>
        </w:tc>
        <w:tc>
          <w:tcPr>
            <w:tcW w:type="dxa" w:w="70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A4</w:t>
            </w:r>
          </w:p>
        </w:tc>
        <w:tc>
          <w:tcPr>
            <w:tcW w:type="dxa" w:w="200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AI Governance Team / Data Governance Team</w:t>
            </w:r>
          </w:p>
        </w:tc>
        <w:tc>
          <w:tcPr>
            <w:tcW w:type="dxa" w:w="358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Evidence Required — Not Provided (Simulated Requirement)</w:t>
            </w:r>
          </w:p>
        </w:tc>
      </w:tr>
      <w:tr>
        <w:trPr>
          <w:cantSplit/>
        </w:trPr>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PBC-05</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System-specific compliance and control mappings</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A4</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GRC Team / Clinical AI &amp; ML Team</w:t>
            </w:r>
          </w:p>
        </w:tc>
        <w:tc>
          <w:tcPr>
            <w:tcW w:type="dxa" w:w="35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Evidence Required — Not Provided (Simulated Requirement)</w:t>
            </w:r>
          </w:p>
        </w:tc>
      </w:tr>
      <w:tr>
        <w:trPr>
          <w:cantSplit/>
        </w:trPr>
        <w:tc>
          <w:tcPr>
            <w:tcW w:type="dxa" w:w="80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PBC-06</w:t>
            </w:r>
          </w:p>
        </w:tc>
        <w:tc>
          <w:tcPr>
            <w:tcW w:type="dxa" w:w="300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Assessment checklists and workpapers</w:t>
            </w:r>
          </w:p>
        </w:tc>
        <w:tc>
          <w:tcPr>
            <w:tcW w:type="dxa" w:w="70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A3, A4</w:t>
            </w:r>
          </w:p>
        </w:tc>
        <w:tc>
          <w:tcPr>
            <w:tcW w:type="dxa" w:w="200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GRC Team</w:t>
            </w:r>
          </w:p>
        </w:tc>
        <w:tc>
          <w:tcPr>
            <w:tcW w:type="dxa" w:w="358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Evidence Required — Not Provided (Simulated Requirement)</w:t>
            </w:r>
          </w:p>
        </w:tc>
      </w:tr>
      <w:tr>
        <w:trPr>
          <w:cantSplit/>
        </w:trPr>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PBC-07</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Identified compliance gaps and remediation records</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A5</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GRC Team / system owners</w:t>
            </w:r>
          </w:p>
        </w:tc>
        <w:tc>
          <w:tcPr>
            <w:tcW w:type="dxa" w:w="35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Evidence Required — Not Provided (Simulated Requirement)</w:t>
            </w:r>
          </w:p>
        </w:tc>
      </w:tr>
      <w:tr>
        <w:trPr>
          <w:cantSplit/>
        </w:trPr>
        <w:tc>
          <w:tcPr>
            <w:tcW w:type="dxa" w:w="80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PBC-08</w:t>
            </w:r>
          </w:p>
        </w:tc>
        <w:tc>
          <w:tcPr>
            <w:tcW w:type="dxa" w:w="300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Governance or committee reporting showing assessment results</w:t>
            </w:r>
          </w:p>
        </w:tc>
        <w:tc>
          <w:tcPr>
            <w:tcW w:type="dxa" w:w="70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A6</w:t>
            </w:r>
          </w:p>
        </w:tc>
        <w:tc>
          <w:tcPr>
            <w:tcW w:type="dxa" w:w="200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GRC Team</w:t>
            </w:r>
          </w:p>
        </w:tc>
        <w:tc>
          <w:tcPr>
            <w:tcW w:type="dxa" w:w="358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Evidence Required — Not Provided (Simulated Requirement)</w:t>
            </w:r>
          </w:p>
        </w:tc>
      </w:tr>
      <w:tr>
        <w:trPr>
          <w:cantSplit/>
        </w:trPr>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PBC-09</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Evidence of management review and sign-off</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A6</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GRC Team management</w:t>
            </w:r>
          </w:p>
        </w:tc>
        <w:tc>
          <w:tcPr>
            <w:tcW w:type="dxa" w:w="35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Evidence Required — Not Provided (Simulated Requirement)</w:t>
            </w:r>
          </w:p>
        </w:tc>
      </w:tr>
      <w:tr>
        <w:trPr>
          <w:cantSplit/>
        </w:trPr>
        <w:tc>
          <w:tcPr>
            <w:tcW w:type="dxa" w:w="80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PBC-10</w:t>
            </w:r>
          </w:p>
        </w:tc>
        <w:tc>
          <w:tcPr>
            <w:tcW w:type="dxa" w:w="300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Material-change records showing whether reassessment was triggered</w:t>
            </w:r>
          </w:p>
        </w:tc>
        <w:tc>
          <w:tcPr>
            <w:tcW w:type="dxa" w:w="70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A7</w:t>
            </w:r>
          </w:p>
        </w:tc>
        <w:tc>
          <w:tcPr>
            <w:tcW w:type="dxa" w:w="200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Clinical AI &amp; ML Team / Machine Learning Engineering</w:t>
            </w:r>
          </w:p>
        </w:tc>
        <w:tc>
          <w:tcPr>
            <w:tcW w:type="dxa" w:w="358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Evidence Required — Not Provided (Simulated Requirement)</w:t>
            </w:r>
          </w:p>
        </w:tc>
      </w:tr>
      <w:tr>
        <w:trPr>
          <w:cantSplit/>
        </w:trPr>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PBC-11</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Evidence supporting applicable legal and regulatory determinations</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A2</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GRC Team / Privacy and Compliance Team</w:t>
            </w:r>
          </w:p>
        </w:tc>
        <w:tc>
          <w:tcPr>
            <w:tcW w:type="dxa" w:w="35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Evidence Required — Not Provided (Simulated Requirement)</w:t>
            </w:r>
          </w:p>
        </w:tc>
      </w:tr>
      <w:tr>
        <w:trPr>
          <w:cantSplit/>
        </w:trPr>
        <w:tc>
          <w:tcPr>
            <w:tcW w:type="dxa" w:w="80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PBC-12</w:t>
            </w:r>
          </w:p>
        </w:tc>
        <w:tc>
          <w:tcPr>
            <w:tcW w:type="dxa" w:w="300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Prior-period follow-up or closure evidence</w:t>
            </w:r>
          </w:p>
        </w:tc>
        <w:tc>
          <w:tcPr>
            <w:tcW w:type="dxa" w:w="70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A8</w:t>
            </w:r>
          </w:p>
        </w:tc>
        <w:tc>
          <w:tcPr>
            <w:tcW w:type="dxa" w:w="200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GRC Team</w:t>
            </w:r>
          </w:p>
        </w:tc>
        <w:tc>
          <w:tcPr>
            <w:tcW w:type="dxa" w:w="358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Evidence Required — Not Provided (Simulated Requirement)</w:t>
            </w:r>
          </w:p>
        </w:tc>
      </w:tr>
    </w:tbl>
    <w:p>
      <w:pPr>
        <w:pStyle w:val="Heading1"/>
        <w:keepNext/>
        <w:pBdr>
          <w:bottom w:val="single" w:color="1F3864" w:sz="6" w:space="2"/>
        </w:pBdr>
        <w:spacing w:after="120" w:before="280"/>
      </w:pPr>
      <w:r>
        <w:rPr>
          <w:rFonts w:ascii="Calibri" w:cs="Calibri" w:eastAsia="Calibri" w:hAnsi="Calibri"/>
          <w:b/>
          <w:bCs/>
          <w:color w:val="1F3864"/>
          <w:sz w:val="26"/>
          <w:szCs w:val="26"/>
        </w:rPr>
        <w:t xml:space="preserve">13. Effectiveness Determination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900"/>
        <w:gridCol w:w="7180"/>
      </w:tblGrid>
      <w:tr>
        <w:trPr>
          <w:cantSplit/>
        </w:trPr>
        <w:tc>
          <w:tcPr>
            <w:tcW w:type="dxa" w:w="2900"/>
            <w:tcBorders>
              <w:top w:val="single" w:color="BFBFBF" w:sz="4"/>
              <w:left w:val="single" w:color="BFBFBF" w:sz="4"/>
              <w:bottom w:val="single" w:color="BFBFBF" w:sz="4"/>
              <w:right w:val="single" w:color="BFBFBF" w:sz="4"/>
            </w:tcBorders>
            <w:shd w:fill="DCE3F1" w:color="auto" w:val="clear"/>
            <w:tcMar>
              <w:top w:type="dxa" w:w="50"/>
              <w:left w:type="dxa" w:w="90"/>
              <w:bottom w:type="dxa" w:w="50"/>
              <w:right w:type="dxa" w:w="90"/>
            </w:tcMar>
          </w:tcPr>
          <w:p>
            <w:pPr>
              <w:spacing w:after="20" w:before="20"/>
            </w:pPr>
            <w:r>
              <w:rPr>
                <w:rFonts w:ascii="Calibri" w:cs="Calibri" w:eastAsia="Calibri" w:hAnsi="Calibri"/>
                <w:b/>
                <w:bCs/>
                <w:color w:val="222222"/>
                <w:sz w:val="18"/>
                <w:szCs w:val="18"/>
              </w:rPr>
              <w:t xml:space="preserve">Register rating</w:t>
            </w:r>
          </w:p>
        </w:tc>
        <w:tc>
          <w:tcPr>
            <w:tcW w:type="dxa" w:w="71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b w:val="false"/>
                <w:bCs w:val="false"/>
                <w:color w:val="222222"/>
                <w:sz w:val="18"/>
                <w:szCs w:val="18"/>
              </w:rPr>
              <w:t xml:space="preserve">Not Tested</w:t>
            </w:r>
          </w:p>
        </w:tc>
      </w:tr>
      <w:tr>
        <w:trPr>
          <w:cantSplit/>
        </w:trPr>
        <w:tc>
          <w:tcPr>
            <w:tcW w:type="dxa" w:w="2900"/>
            <w:tcBorders>
              <w:top w:val="single" w:color="BFBFBF" w:sz="4"/>
              <w:left w:val="single" w:color="BFBFBF" w:sz="4"/>
              <w:bottom w:val="single" w:color="BFBFBF" w:sz="4"/>
              <w:right w:val="single" w:color="BFBFBF" w:sz="4"/>
            </w:tcBorders>
            <w:shd w:fill="DCE3F1" w:color="auto" w:val="clear"/>
            <w:tcMar>
              <w:top w:type="dxa" w:w="50"/>
              <w:left w:type="dxa" w:w="90"/>
              <w:bottom w:type="dxa" w:w="50"/>
              <w:right w:type="dxa" w:w="90"/>
            </w:tcMar>
          </w:tcPr>
          <w:p>
            <w:pPr>
              <w:spacing w:after="20" w:before="20"/>
            </w:pPr>
            <w:r>
              <w:rPr>
                <w:rFonts w:ascii="Calibri" w:cs="Calibri" w:eastAsia="Calibri" w:hAnsi="Calibri"/>
                <w:b/>
                <w:bCs/>
                <w:color w:val="222222"/>
                <w:sz w:val="18"/>
                <w:szCs w:val="18"/>
              </w:rPr>
              <w:t xml:space="preserve">Assessment status</w:t>
            </w:r>
          </w:p>
        </w:tc>
        <w:tc>
          <w:tcPr>
            <w:tcW w:type="dxa" w:w="718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pPr>
              <w:spacing w:after="20" w:before="20"/>
            </w:pPr>
            <w:r>
              <w:rPr>
                <w:rFonts w:ascii="Calibri" w:cs="Calibri" w:eastAsia="Calibri" w:hAnsi="Calibri"/>
                <w:b w:val="false"/>
                <w:bCs w:val="false"/>
                <w:color w:val="222222"/>
                <w:sz w:val="18"/>
                <w:szCs w:val="18"/>
              </w:rPr>
              <w:t xml:space="preserve">Not Tested</w:t>
            </w:r>
          </w:p>
        </w:tc>
      </w:tr>
      <w:tr>
        <w:trPr>
          <w:cantSplit/>
        </w:trPr>
        <w:tc>
          <w:tcPr>
            <w:tcW w:type="dxa" w:w="2900"/>
            <w:tcBorders>
              <w:top w:val="single" w:color="BFBFBF" w:sz="4"/>
              <w:left w:val="single" w:color="BFBFBF" w:sz="4"/>
              <w:bottom w:val="single" w:color="BFBFBF" w:sz="4"/>
              <w:right w:val="single" w:color="BFBFBF" w:sz="4"/>
            </w:tcBorders>
            <w:shd w:fill="DCE3F1" w:color="auto" w:val="clear"/>
            <w:tcMar>
              <w:top w:type="dxa" w:w="50"/>
              <w:left w:type="dxa" w:w="90"/>
              <w:bottom w:type="dxa" w:w="50"/>
              <w:right w:type="dxa" w:w="90"/>
            </w:tcMar>
          </w:tcPr>
          <w:p>
            <w:pPr>
              <w:spacing w:after="20" w:before="20"/>
            </w:pPr>
            <w:r>
              <w:rPr>
                <w:rFonts w:ascii="Calibri" w:cs="Calibri" w:eastAsia="Calibri" w:hAnsi="Calibri"/>
                <w:b/>
                <w:bCs/>
                <w:color w:val="222222"/>
                <w:sz w:val="18"/>
                <w:szCs w:val="18"/>
              </w:rPr>
              <w:t xml:space="preserve">Effectiveness conclusion</w:t>
            </w:r>
          </w:p>
        </w:tc>
        <w:tc>
          <w:tcPr>
            <w:tcW w:type="dxa" w:w="71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b/>
                <w:bCs/>
                <w:color w:val="222222"/>
                <w:sz w:val="18"/>
                <w:szCs w:val="18"/>
              </w:rPr>
              <w:t xml:space="preserve">Not Concluded</w:t>
            </w:r>
          </w:p>
        </w:tc>
      </w:tr>
      <w:tr>
        <w:trPr>
          <w:cantSplit/>
        </w:trPr>
        <w:tc>
          <w:tcPr>
            <w:tcW w:type="dxa" w:w="2900"/>
            <w:tcBorders>
              <w:top w:val="single" w:color="BFBFBF" w:sz="4"/>
              <w:left w:val="single" w:color="BFBFBF" w:sz="4"/>
              <w:bottom w:val="single" w:color="BFBFBF" w:sz="4"/>
              <w:right w:val="single" w:color="BFBFBF" w:sz="4"/>
            </w:tcBorders>
            <w:shd w:fill="DCE3F1" w:color="auto" w:val="clear"/>
            <w:tcMar>
              <w:top w:type="dxa" w:w="50"/>
              <w:left w:type="dxa" w:w="90"/>
              <w:bottom w:type="dxa" w:w="50"/>
              <w:right w:type="dxa" w:w="90"/>
            </w:tcMar>
          </w:tcPr>
          <w:p>
            <w:pPr>
              <w:spacing w:after="20" w:before="20"/>
            </w:pPr>
            <w:r>
              <w:rPr>
                <w:rFonts w:ascii="Calibri" w:cs="Calibri" w:eastAsia="Calibri" w:hAnsi="Calibri"/>
                <w:b/>
                <w:bCs/>
                <w:color w:val="222222"/>
                <w:sz w:val="18"/>
                <w:szCs w:val="18"/>
              </w:rPr>
              <w:t xml:space="preserve">Reason</w:t>
            </w:r>
          </w:p>
        </w:tc>
        <w:tc>
          <w:tcPr>
            <w:tcW w:type="dxa" w:w="718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pPr>
              <w:spacing w:after="20" w:before="20"/>
            </w:pPr>
            <w:r>
              <w:rPr>
                <w:rFonts w:ascii="Calibri" w:cs="Calibri" w:eastAsia="Calibri" w:hAnsi="Calibri"/>
                <w:b w:val="false"/>
                <w:bCs w:val="false"/>
                <w:color w:val="222222"/>
                <w:sz w:val="18"/>
                <w:szCs w:val="18"/>
              </w:rPr>
              <w:t xml:space="preserve">No testing has been performed and no evidence has been received. The artifact is a plan and evidence request.</w:t>
            </w:r>
          </w:p>
        </w:tc>
      </w:tr>
      <w:tr>
        <w:trPr>
          <w:cantSplit/>
        </w:trPr>
        <w:tc>
          <w:tcPr>
            <w:tcW w:type="dxa" w:w="2900"/>
            <w:tcBorders>
              <w:top w:val="single" w:color="BFBFBF" w:sz="4"/>
              <w:left w:val="single" w:color="BFBFBF" w:sz="4"/>
              <w:bottom w:val="single" w:color="BFBFBF" w:sz="4"/>
              <w:right w:val="single" w:color="BFBFBF" w:sz="4"/>
            </w:tcBorders>
            <w:shd w:fill="DCE3F1" w:color="auto" w:val="clear"/>
            <w:tcMar>
              <w:top w:type="dxa" w:w="50"/>
              <w:left w:type="dxa" w:w="90"/>
              <w:bottom w:type="dxa" w:w="50"/>
              <w:right w:type="dxa" w:w="90"/>
            </w:tcMar>
          </w:tcPr>
          <w:p>
            <w:pPr>
              <w:spacing w:after="20" w:before="20"/>
            </w:pPr>
            <w:r>
              <w:rPr>
                <w:rFonts w:ascii="Calibri" w:cs="Calibri" w:eastAsia="Calibri" w:hAnsi="Calibri"/>
                <w:b/>
                <w:bCs/>
                <w:color w:val="222222"/>
                <w:sz w:val="18"/>
                <w:szCs w:val="18"/>
              </w:rPr>
              <w:t xml:space="preserve">Conditions for a future conclusion</w:t>
            </w:r>
          </w:p>
        </w:tc>
        <w:tc>
          <w:tcPr>
            <w:tcW w:type="dxa" w:w="71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b w:val="false"/>
                <w:bCs w:val="false"/>
                <w:color w:val="222222"/>
                <w:sz w:val="18"/>
                <w:szCs w:val="18"/>
              </w:rPr>
              <w:t xml:space="preserve">Scope and criteria confirmed (APO-01, APO-02); evidence in Section 12 received; attributes A1–A8 tested; exceptions evaluated with the control owner. Any resulting rating would be recorded in a subsequent assessment report.</w:t>
            </w:r>
          </w:p>
        </w:tc>
      </w:tr>
    </w:tbl>
    <w:p>
      <w:pPr>
        <w:pStyle w:val="Heading1"/>
        <w:keepNext/>
        <w:pBdr>
          <w:bottom w:val="single" w:color="1F3864" w:sz="6" w:space="2"/>
        </w:pBdr>
        <w:spacing w:after="120" w:before="280"/>
      </w:pPr>
      <w:r>
        <w:rPr>
          <w:rFonts w:ascii="Calibri" w:cs="Calibri" w:eastAsia="Calibri" w:hAnsi="Calibri"/>
          <w:b/>
          <w:bCs/>
          <w:color w:val="1F3864"/>
          <w:sz w:val="26"/>
          <w:szCs w:val="26"/>
        </w:rPr>
        <w:t xml:space="preserve">14. Conclusion</w:t>
      </w:r>
    </w:p>
    <w:p>
      <w:pPr>
        <w:spacing w:after="120" w:before="0" w:line="264"/>
      </w:pPr>
      <w:r>
        <w:rPr>
          <w:rFonts w:ascii="Calibri" w:cs="Calibri" w:eastAsia="Calibri" w:hAnsi="Calibri"/>
          <w:color w:val="222222"/>
          <w:sz w:val="21"/>
          <w:szCs w:val="21"/>
        </w:rPr>
        <w:t xml:space="preserve">CTL-009 is recorded as Not Tested in the Control Register, and this artifact keeps that status. It establishes the scope, criteria, planned attributes, and evidence request needed to assess whether high-impact AI systems, beginning with the Clinical Diagnostic AI Model, are assessed annually against applicable requirements.</w:t>
      </w:r>
    </w:p>
    <w:p>
      <w:pPr>
        <w:spacing w:after="120" w:before="0" w:line="264"/>
      </w:pPr>
      <w:r>
        <w:rPr>
          <w:rFonts w:ascii="Calibri" w:cs="Calibri" w:eastAsia="Calibri" w:hAnsi="Calibri"/>
          <w:color w:val="222222"/>
          <w:sz w:val="21"/>
          <w:szCs w:val="21"/>
        </w:rPr>
        <w:t xml:space="preserve">Four planning observations (APO-01 to APO-04) should be resolved or accepted before testing. Two of them, the risk coverage gap and the missing Compliance appetite statement, are carried to the consolidated Findings &amp; Remediation Tracker as recommendations. </w:t>
      </w:r>
      <w:r>
        <w:rPr>
          <w:rFonts w:ascii="Calibri" w:cs="Calibri" w:eastAsia="Calibri" w:hAnsi="Calibri"/>
          <w:b/>
          <w:bCs/>
          <w:color w:val="222222"/>
          <w:sz w:val="21"/>
          <w:szCs w:val="21"/>
        </w:rPr>
        <w:t xml:space="preserve">No effectiveness conclusion is drawn.</w:t>
      </w:r>
      <w:r>
        <w:rPr>
          <w:rFonts w:ascii="Calibri" w:cs="Calibri" w:eastAsia="Calibri" w:hAnsi="Calibri"/>
          <w:color w:val="222222"/>
          <w:sz w:val="21"/>
          <w:szCs w:val="21"/>
        </w:rPr>
        <w:t xml:space="preserve"> One can be reached only after the requested evidence is received and tested.</w:t>
      </w:r>
    </w:p>
    <w:p>
      <w:pPr>
        <w:pStyle w:val="Heading1"/>
        <w:keepNext/>
        <w:pBdr>
          <w:bottom w:val="single" w:color="1F3864" w:sz="6" w:space="2"/>
        </w:pBdr>
        <w:spacing w:after="120" w:before="280"/>
      </w:pPr>
      <w:r>
        <w:rPr>
          <w:rFonts w:ascii="Calibri" w:cs="Calibri" w:eastAsia="Calibri" w:hAnsi="Calibri"/>
          <w:b/>
          <w:bCs/>
          <w:color w:val="1F3864"/>
          <w:sz w:val="26"/>
          <w:szCs w:val="26"/>
        </w:rPr>
        <w:t xml:space="preserve">15. Reviewer / Sign-Off — Not Applicable (Portfolio Simulation)</w:t>
      </w:r>
    </w:p>
    <w:p>
      <w:pPr>
        <w:spacing w:after="80" w:before="0" w:line="264"/>
      </w:pPr>
      <w:r>
        <w:rPr>
          <w:rFonts w:ascii="Calibri" w:cs="Calibri" w:eastAsia="Calibri" w:hAnsi="Calibri"/>
          <w:i/>
          <w:iCs/>
          <w:color w:val="222222"/>
          <w:sz w:val="21"/>
          <w:szCs w:val="21"/>
        </w:rPr>
        <w:t xml:space="preserve">Sign-off is not applicable for this portfolio simulation. The blank table below illustrates the review and approval fields the real artifact would capture.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1900"/>
        <w:gridCol w:w="1600"/>
        <w:gridCol w:w="2200"/>
        <w:gridCol w:w="1780"/>
      </w:tblGrid>
      <w:tr>
        <w:trPr>
          <w:cantSplit/>
          <w:tblHeader/>
        </w:trPr>
        <w:tc>
          <w:tcPr>
            <w:tcW w:type="dxa" w:w="26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rFonts w:ascii="Calibri" w:cs="Calibri" w:eastAsia="Calibri" w:hAnsi="Calibri"/>
                <w:b/>
                <w:bCs/>
                <w:color w:val="FFFFFF"/>
                <w:sz w:val="17"/>
                <w:szCs w:val="17"/>
              </w:rPr>
              <w:t xml:space="preserve">Role</w:t>
            </w:r>
          </w:p>
        </w:tc>
        <w:tc>
          <w:tcPr>
            <w:tcW w:type="dxa" w:w="19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rFonts w:ascii="Calibri" w:cs="Calibri" w:eastAsia="Calibri" w:hAnsi="Calibri"/>
                <w:b/>
                <w:bCs/>
                <w:color w:val="FFFFFF"/>
                <w:sz w:val="17"/>
                <w:szCs w:val="17"/>
              </w:rPr>
              <w:t xml:space="preserve">Name</w:t>
            </w:r>
          </w:p>
        </w:tc>
        <w:tc>
          <w:tcPr>
            <w:tcW w:type="dxa" w:w="16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rFonts w:ascii="Calibri" w:cs="Calibri" w:eastAsia="Calibri" w:hAnsi="Calibri"/>
                <w:b/>
                <w:bCs/>
                <w:color w:val="FFFFFF"/>
                <w:sz w:val="17"/>
                <w:szCs w:val="17"/>
              </w:rPr>
              <w:t xml:space="preserve">Title</w:t>
            </w:r>
          </w:p>
        </w:tc>
        <w:tc>
          <w:tcPr>
            <w:tcW w:type="dxa" w:w="22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rFonts w:ascii="Calibri" w:cs="Calibri" w:eastAsia="Calibri" w:hAnsi="Calibri"/>
                <w:b/>
                <w:bCs/>
                <w:color w:val="FFFFFF"/>
                <w:sz w:val="17"/>
                <w:szCs w:val="17"/>
              </w:rPr>
              <w:t xml:space="preserve">Signature</w:t>
            </w:r>
          </w:p>
        </w:tc>
        <w:tc>
          <w:tcPr>
            <w:tcW w:type="dxa" w:w="178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rFonts w:ascii="Calibri" w:cs="Calibri" w:eastAsia="Calibri" w:hAnsi="Calibri"/>
                <w:b/>
                <w:bCs/>
                <w:color w:val="FFFFFF"/>
                <w:sz w:val="17"/>
                <w:szCs w:val="17"/>
              </w:rPr>
              <w:t xml:space="preserve">Date</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b/>
                <w:bCs/>
                <w:color w:val="222222"/>
                <w:sz w:val="17"/>
                <w:szCs w:val="17"/>
              </w:rPr>
              <w:t xml:space="preserve">Plan Prepared By (GRC Analyst)</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p>
        </w:tc>
        <w:tc>
          <w:tcPr>
            <w:tcW w:type="dxa" w:w="17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p>
        </w:tc>
      </w:tr>
      <w:tr>
        <w:trPr>
          <w:cantSplit/>
        </w:trPr>
        <w:tc>
          <w:tcPr>
            <w:tcW w:type="dxa" w:w="260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pPr>
              <w:spacing w:after="20" w:before="20"/>
            </w:pPr>
            <w:r>
              <w:rPr>
                <w:rFonts w:ascii="Calibri" w:cs="Calibri" w:eastAsia="Calibri" w:hAnsi="Calibri"/>
                <w:b/>
                <w:bCs/>
                <w:color w:val="222222"/>
                <w:sz w:val="17"/>
                <w:szCs w:val="17"/>
              </w:rPr>
              <w:t xml:space="preserve">Control Owner Acknowledgment (GRC Team)</w:t>
            </w:r>
          </w:p>
        </w:tc>
        <w:tc>
          <w:tcPr>
            <w:tcW w:type="dxa" w:w="190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pPr>
              <w:spacing w:after="20" w:before="20"/>
            </w:pPr>
          </w:p>
        </w:tc>
        <w:tc>
          <w:tcPr>
            <w:tcW w:type="dxa" w:w="160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pPr>
              <w:spacing w:after="20" w:before="20"/>
            </w:pPr>
          </w:p>
        </w:tc>
        <w:tc>
          <w:tcPr>
            <w:tcW w:type="dxa" w:w="220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pPr>
              <w:spacing w:after="20" w:before="20"/>
            </w:pPr>
          </w:p>
        </w:tc>
        <w:tc>
          <w:tcPr>
            <w:tcW w:type="dxa" w:w="178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pPr>
              <w:spacing w:after="20" w:before="20"/>
            </w:pPr>
          </w:p>
        </w:tc>
      </w:tr>
      <w:tr>
        <w:trPr>
          <w:cantSplit/>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b/>
                <w:bCs/>
                <w:color w:val="222222"/>
                <w:sz w:val="17"/>
                <w:szCs w:val="17"/>
              </w:rPr>
              <w:t xml:space="preserve">Reviewer / Quality Assurance</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p>
        </w:tc>
        <w:tc>
          <w:tcPr>
            <w:tcW w:type="dxa" w:w="17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p>
        </w:tc>
      </w:tr>
      <w:tr>
        <w:trPr>
          <w:cantSplit/>
        </w:trPr>
        <w:tc>
          <w:tcPr>
            <w:tcW w:type="dxa" w:w="260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pPr>
              <w:spacing w:after="20" w:before="20"/>
            </w:pPr>
            <w:r>
              <w:rPr>
                <w:rFonts w:ascii="Calibri" w:cs="Calibri" w:eastAsia="Calibri" w:hAnsi="Calibri"/>
                <w:b/>
                <w:bCs/>
                <w:color w:val="222222"/>
                <w:sz w:val="17"/>
                <w:szCs w:val="17"/>
              </w:rPr>
              <w:t xml:space="preserve">Approver</w:t>
            </w:r>
          </w:p>
        </w:tc>
        <w:tc>
          <w:tcPr>
            <w:tcW w:type="dxa" w:w="190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pPr>
              <w:spacing w:after="20" w:before="20"/>
            </w:pPr>
          </w:p>
        </w:tc>
        <w:tc>
          <w:tcPr>
            <w:tcW w:type="dxa" w:w="160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pPr>
              <w:spacing w:after="20" w:before="20"/>
            </w:pPr>
          </w:p>
        </w:tc>
        <w:tc>
          <w:tcPr>
            <w:tcW w:type="dxa" w:w="220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pPr>
              <w:spacing w:after="20" w:before="20"/>
            </w:pPr>
          </w:p>
        </w:tc>
        <w:tc>
          <w:tcPr>
            <w:tcW w:type="dxa" w:w="178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pPr>
              <w:spacing w:after="20" w:before="20"/>
            </w:pPr>
          </w:p>
        </w:tc>
      </w:tr>
    </w:tbl>
    <w:p>
      <w:pPr>
        <w:pStyle w:val="Heading1"/>
        <w:keepNext/>
        <w:pBdr>
          <w:bottom w:val="single" w:color="1F3864" w:sz="6" w:space="2"/>
        </w:pBdr>
        <w:spacing w:after="120" w:before="280"/>
      </w:pPr>
      <w:r>
        <w:rPr>
          <w:rFonts w:ascii="Calibri" w:cs="Calibri" w:eastAsia="Calibri" w:hAnsi="Calibri"/>
          <w:b/>
          <w:bCs/>
          <w:color w:val="1F3864"/>
          <w:sz w:val="26"/>
          <w:szCs w:val="26"/>
        </w:rPr>
        <w:t xml:space="preserve">16. Revision History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5180"/>
        <w:gridCol w:w="2100"/>
      </w:tblGrid>
      <w:tr>
        <w:trPr>
          <w:cantSplit/>
          <w:tblHeader/>
        </w:trPr>
        <w:tc>
          <w:tcPr>
            <w:tcW w:type="dxa" w:w="11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rFonts w:ascii="Calibri" w:cs="Calibri" w:eastAsia="Calibri" w:hAnsi="Calibri"/>
                <w:b/>
                <w:bCs/>
                <w:color w:val="FFFFFF"/>
                <w:sz w:val="17"/>
                <w:szCs w:val="17"/>
              </w:rPr>
              <w:t xml:space="preserve">Version</w:t>
            </w:r>
          </w:p>
        </w:tc>
        <w:tc>
          <w:tcPr>
            <w:tcW w:type="dxa" w:w="17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rFonts w:ascii="Calibri" w:cs="Calibri" w:eastAsia="Calibri" w:hAnsi="Calibri"/>
                <w:b/>
                <w:bCs/>
                <w:color w:val="FFFFFF"/>
                <w:sz w:val="17"/>
                <w:szCs w:val="17"/>
              </w:rPr>
              <w:t xml:space="preserve">Date</w:t>
            </w:r>
          </w:p>
        </w:tc>
        <w:tc>
          <w:tcPr>
            <w:tcW w:type="dxa" w:w="518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rFonts w:ascii="Calibri" w:cs="Calibri" w:eastAsia="Calibri" w:hAnsi="Calibri"/>
                <w:b/>
                <w:bCs/>
                <w:color w:val="FFFFFF"/>
                <w:sz w:val="17"/>
                <w:szCs w:val="17"/>
              </w:rPr>
              <w:t xml:space="preserve">Description</w:t>
            </w:r>
          </w:p>
        </w:tc>
        <w:tc>
          <w:tcPr>
            <w:tcW w:type="dxa" w:w="21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rFonts w:ascii="Calibri" w:cs="Calibri" w:eastAsia="Calibri" w:hAnsi="Calibri"/>
                <w:b/>
                <w:bCs/>
                <w:color w:val="FFFFFF"/>
                <w:sz w:val="17"/>
                <w:szCs w:val="17"/>
              </w:rPr>
              <w:t xml:space="preserve">Author</w:t>
            </w:r>
          </w:p>
        </w:tc>
      </w:tr>
      <w:tr>
        <w:trPr>
          <w:cantSplit/>
        </w:trPr>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1.0</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September 27, 2026</w:t>
            </w:r>
          </w:p>
        </w:tc>
        <w:tc>
          <w:tcPr>
            <w:tcW w:type="dxa" w:w="51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Initial creation of the Compliance Assessment Plan &amp; Evidence Request supporting CTL-009 (ISO 27001 A.5.31).</w:t>
            </w:r>
          </w:p>
        </w:tc>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color w:val="222222"/>
                <w:sz w:val="17"/>
                <w:szCs w:val="17"/>
              </w:rPr>
              <w:t xml:space="preserve">Maxine Jones, GRC Analyst</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pPr>
              <w:spacing w:after="20" w:before="20"/>
            </w:pPr>
            <w:r>
              <w:rPr>
                <w:rFonts w:ascii="Calibri" w:cs="Calibri" w:eastAsia="Calibri" w:hAnsi="Calibri"/>
                <w:b/>
                <w:bCs/>
                <w:color w:val="222222"/>
                <w:sz w:val="18"/>
                <w:szCs w:val="18"/>
              </w:rPr>
              <w:t xml:space="preserve">Portfolio Simulation Disclosure —</w:t>
            </w:r>
            <w:r>
              <w:rPr>
                <w:rFonts w:ascii="Calibri" w:cs="Calibri" w:eastAsia="Calibri" w:hAnsi="Calibri"/>
                <w:color w:val="222222"/>
                <w:sz w:val="18"/>
                <w:szCs w:val="18"/>
              </w:rPr>
              <w:t xml:space="preserve"> </w:t>
            </w:r>
            <w:r>
              <w:rPr>
                <w:rFonts w:ascii="Calibri" w:cs="Calibri" w:eastAsia="Calibri" w:hAnsi="Calibri"/>
                <w:i/>
                <w:iCs/>
                <w:color w:val="222222"/>
                <w:sz w:val="18"/>
                <w:szCs w:val="18"/>
              </w:rPr>
              <w:t xml:space="preserve">This artifact was created as part of a simulated GRC practice environment for educational and portfolio purposes and does not represent the records or control environment of an actual organization. It is a planning document: no testing occurred and no evidence was reviewed.</w:t>
            </w:r>
          </w:p>
        </w:tc>
      </w:tr>
    </w:tbl>
    <w:sectPr>
      <w:headerReference w:type="default" r:id="rId7"/>
      <w:footerReference w:type="default" r:id="rId8"/>
      <w:pgSz w:w="12240" w:h="15840" w:orient="portrait"/>
      <w:pgMar w:top="1300" w:right="1080" w:bottom="1080" w:left="1080" w:header="680" w:footer="5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jc w:val="center"/>
    </w:pPr>
    <w:r>
      <w:rPr>
        <w:rFonts w:ascii="Calibri" w:cs="Calibri" w:eastAsia="Calibri" w:hAnsi="Calibri"/>
        <w:color w:val="7F7F7F"/>
        <w:sz w:val="16"/>
        <w:szCs w:val="16"/>
      </w:rPr>
      <w:t xml:space="preserve">MAL-CAP-009   |   Confidential — Internal Use Only   |   Page </w:t>
    </w:r>
    <w:r>
      <w:rPr>
        <w:rFonts w:ascii="Calibri" w:cs="Calibri" w:eastAsia="Calibri" w:hAnsi="Calibri"/>
        <w:b/>
        <w:bCs/>
        <w:color w:val="7F7F7F"/>
        <w:sz w:val="16"/>
        <w:szCs w:val="16"/>
      </w:rPr>
      <w:fldChar w:fldCharType="begin"/>
      <w:instrText xml:space="preserve">PAGE</w:instrText>
      <w:fldChar w:fldCharType="separate"/>
      <w:fldChar w:fldCharType="end"/>
    </w:r>
    <w:r>
      <w:rPr>
        <w:rFonts w:ascii="Calibri" w:cs="Calibri" w:eastAsia="Calibri" w:hAnsi="Calibri"/>
        <w:color w:val="7F7F7F"/>
        <w:sz w:val="16"/>
        <w:szCs w:val="16"/>
      </w:rPr>
      <w:t xml:space="preserve"> of </w:t>
    </w:r>
    <w:r>
      <w:rPr>
        <w:rFonts w:ascii="Calibri" w:cs="Calibri" w:eastAsia="Calibri" w:hAnsi="Calibri"/>
        <w:color w:val="7F7F7F"/>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MindfulAI Labs — Simulated GRC Practice Environment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Calibri" w:cs="Calibri" w:eastAsia="Calibri" w:hAnsi="Calibri"/>
      <w:b/>
      <w:bCs/>
      <w:color w:val="1F386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MAL-CAP-009 Compliance Assessment Plan &amp; Evidence Request</dc:title>
  <dc:creator>Maxine Jones</dc:creator>
  <cp:lastModifiedBy>Un-named</cp:lastModifiedBy>
  <cp:revision>1</cp:revision>
  <dcterms:created xsi:type="dcterms:W3CDTF">2026-09-28T02:34:07.309Z</dcterms:created>
  <dcterms:modified xsi:type="dcterms:W3CDTF">2026-09-28T02:34:07.319Z</dcterms:modified>
</cp:coreProperties>
</file>

<file path=docProps/custom.xml><?xml version="1.0" encoding="utf-8"?>
<Properties xmlns="http://schemas.openxmlformats.org/officeDocument/2006/custom-properties" xmlns:vt="http://schemas.openxmlformats.org/officeDocument/2006/docPropsVTypes"/>
</file>