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i w:val="false"/>
          <w:iCs w:val="false"/>
          <w:color w:val="1F3864"/>
          <w:sz w:val="22"/>
          <w:szCs w:val="22"/>
        </w:rPr>
        <w:t xml:space="preserve">MindfulAI Labs</w:t>
      </w:r>
    </w:p>
    <w:p>
      <w:pPr>
        <w:spacing w:after="40"/>
      </w:pPr>
      <w:r>
        <w:rPr>
          <w:rFonts w:ascii="Calibri" w:cs="Calibri" w:eastAsia="Calibri" w:hAnsi="Calibri"/>
          <w:b w:val="false"/>
          <w:bCs w:val="false"/>
          <w:i/>
          <w:iCs/>
          <w:color w:val="7F7F7F"/>
          <w:sz w:val="18"/>
          <w:szCs w:val="18"/>
        </w:rPr>
        <w:t xml:space="preserve">Simulated GRC Practice Environment</w:t>
      </w:r>
    </w:p>
    <w:p>
      <w:pPr>
        <w:pBdr>
          <w:bottom w:val="single" w:color="1F3864" w:sz="12"/>
        </w:pBdr>
        <w:spacing w:after="40"/>
      </w:pPr>
      <w:r>
        <w:rPr>
          <w:rFonts w:ascii="Calibri" w:cs="Calibri" w:eastAsia="Calibri" w:hAnsi="Calibri"/>
          <w:b/>
          <w:bCs/>
          <w:i w:val="false"/>
          <w:iCs w:val="false"/>
          <w:color w:val="000000"/>
          <w:sz w:val="34"/>
          <w:szCs w:val="34"/>
        </w:rPr>
        <w:t xml:space="preserve">AI Training Data Validation Checklist</w:t>
      </w:r>
    </w:p>
    <w:p>
      <w:pPr>
        <w:spacing w:after="160"/>
      </w:pPr>
      <w:r>
        <w:rPr>
          <w:rFonts w:ascii="Calibri" w:cs="Calibri" w:eastAsia="Calibri" w:hAnsi="Calibri"/>
          <w:b w:val="false"/>
          <w:bCs w:val="false"/>
          <w:i w:val="false"/>
          <w:iCs w:val="false"/>
          <w:color w:val="595959"/>
          <w:sz w:val="20"/>
          <w:szCs w:val="20"/>
        </w:rPr>
        <w:t xml:space="preserve">Control Evidence Record — CTL-mu0tgvxq  ·  ISO 27001 A.5.12</w:t>
      </w:r>
    </w:p>
    <w:p>
      <w:pPr>
        <w:pBdr>
          <w:bottom w:val="single" w:color="1F3864" w:sz="8"/>
        </w:pBdr>
        <w:spacing w:after="120" w:before="260"/>
      </w:pPr>
      <w:r>
        <w:rPr>
          <w:rFonts w:ascii="Calibri" w:cs="Calibri" w:eastAsia="Calibri" w:hAnsi="Calibri"/>
          <w:b/>
          <w:bCs/>
          <w:i w:val="false"/>
          <w:iCs w:val="false"/>
          <w:color w:val="1F3864"/>
          <w:sz w:val="26"/>
          <w:szCs w:val="26"/>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cantSplit/>
        </w:trPr>
        <w:tc>
          <w:tcPr>
            <w:tcW w:type="dxa" w:w="306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Document Title</w:t>
            </w:r>
          </w:p>
        </w:tc>
        <w:tc>
          <w:tcPr>
            <w:tcW w:type="dxa" w:w="63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AI Training Data Validation Checklist</w:t>
            </w:r>
          </w:p>
        </w:tc>
      </w:tr>
      <w:tr>
        <w:trPr>
          <w:cantSplit/>
        </w:trPr>
        <w:tc>
          <w:tcPr>
            <w:tcW w:type="dxa" w:w="306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Document ID</w:t>
            </w:r>
          </w:p>
        </w:tc>
        <w:tc>
          <w:tcPr>
            <w:tcW w:type="dxa" w:w="63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MAL-CHK-001</w:t>
            </w:r>
          </w:p>
        </w:tc>
      </w:tr>
      <w:tr>
        <w:trPr>
          <w:cantSplit/>
        </w:trPr>
        <w:tc>
          <w:tcPr>
            <w:tcW w:type="dxa" w:w="306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Version</w:t>
            </w:r>
          </w:p>
        </w:tc>
        <w:tc>
          <w:tcPr>
            <w:tcW w:type="dxa" w:w="63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1.0</w:t>
            </w:r>
          </w:p>
        </w:tc>
      </w:tr>
      <w:tr>
        <w:trPr>
          <w:cantSplit/>
        </w:trPr>
        <w:tc>
          <w:tcPr>
            <w:tcW w:type="dxa" w:w="306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Classification</w:t>
            </w:r>
          </w:p>
        </w:tc>
        <w:tc>
          <w:tcPr>
            <w:tcW w:type="dxa" w:w="63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Confidential — Internal Use Only</w:t>
            </w:r>
          </w:p>
        </w:tc>
      </w:tr>
      <w:tr>
        <w:trPr>
          <w:cantSplit/>
        </w:trPr>
        <w:tc>
          <w:tcPr>
            <w:tcW w:type="dxa" w:w="306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Control Reference</w:t>
            </w:r>
          </w:p>
        </w:tc>
        <w:tc>
          <w:tcPr>
            <w:tcW w:type="dxa" w:w="63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CTL-mu0tgvxq (ISO 27001 A.5.12)</w:t>
            </w:r>
          </w:p>
        </w:tc>
      </w:tr>
      <w:tr>
        <w:trPr>
          <w:cantSplit/>
        </w:trPr>
        <w:tc>
          <w:tcPr>
            <w:tcW w:type="dxa" w:w="306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Control Owner</w:t>
            </w:r>
          </w:p>
        </w:tc>
        <w:tc>
          <w:tcPr>
            <w:tcW w:type="dxa" w:w="63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Science Team</w:t>
            </w:r>
          </w:p>
        </w:tc>
      </w:tr>
      <w:tr>
        <w:trPr>
          <w:cantSplit/>
        </w:trPr>
        <w:tc>
          <w:tcPr>
            <w:tcW w:type="dxa" w:w="306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Prepared By</w:t>
            </w:r>
          </w:p>
        </w:tc>
        <w:tc>
          <w:tcPr>
            <w:tcW w:type="dxa" w:w="63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Maxine Jones, GRC Analyst</w:t>
            </w:r>
          </w:p>
        </w:tc>
      </w:tr>
      <w:tr>
        <w:trPr>
          <w:cantSplit/>
        </w:trPr>
        <w:tc>
          <w:tcPr>
            <w:tcW w:type="dxa" w:w="306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Validation Performed By</w:t>
            </w:r>
          </w:p>
        </w:tc>
        <w:tc>
          <w:tcPr>
            <w:tcW w:type="dxa" w:w="63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Science Team</w:t>
            </w:r>
          </w:p>
        </w:tc>
      </w:tr>
      <w:tr>
        <w:trPr>
          <w:cantSplit/>
        </w:trPr>
        <w:tc>
          <w:tcPr>
            <w:tcW w:type="dxa" w:w="306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Assessment Period</w:t>
            </w:r>
          </w:p>
        </w:tc>
        <w:tc>
          <w:tcPr>
            <w:tcW w:type="dxa" w:w="63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Q3 2026</w:t>
            </w:r>
          </w:p>
        </w:tc>
      </w:tr>
      <w:tr>
        <w:trPr>
          <w:cantSplit/>
        </w:trPr>
        <w:tc>
          <w:tcPr>
            <w:tcW w:type="dxa" w:w="306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Validation Date</w:t>
            </w:r>
          </w:p>
        </w:tc>
        <w:tc>
          <w:tcPr>
            <w:tcW w:type="dxa" w:w="63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____________________ (within Q3 2026 assessment period)</w:t>
            </w:r>
          </w:p>
        </w:tc>
      </w:tr>
      <w:tr>
        <w:trPr>
          <w:cantSplit/>
        </w:trPr>
        <w:tc>
          <w:tcPr>
            <w:tcW w:type="dxa" w:w="306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Status</w:t>
            </w:r>
          </w:p>
        </w:tc>
        <w:tc>
          <w:tcPr>
            <w:tcW w:type="dxa" w:w="63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Completed (Simulated) — Sign-Off Pending</w:t>
            </w:r>
          </w:p>
        </w:tc>
      </w:tr>
    </w:tbl>
    <w:p>
      <w:pPr>
        <w:pBdr>
          <w:bottom w:val="single" w:color="1F3864" w:sz="8"/>
        </w:pBdr>
        <w:spacing w:after="120" w:before="260"/>
      </w:pPr>
      <w:r>
        <w:rPr>
          <w:rFonts w:ascii="Calibri" w:cs="Calibri" w:eastAsia="Calibri" w:hAnsi="Calibri"/>
          <w:b/>
          <w:bCs/>
          <w:i w:val="false"/>
          <w:iCs w:val="false"/>
          <w:color w:val="1F3864"/>
          <w:sz w:val="26"/>
          <w:szCs w:val="26"/>
        </w:rPr>
        <w:t xml:space="preserve">2. Purpose</w:t>
      </w:r>
    </w:p>
    <w:p>
      <w:pPr>
        <w:spacing w:after="120" w:before="0" w:line="276"/>
        <w:jc w:val="left"/>
      </w:pPr>
      <w:r>
        <w:rPr>
          <w:rFonts w:ascii="Calibri" w:cs="Calibri" w:eastAsia="Calibri" w:hAnsi="Calibri"/>
          <w:b w:val="false"/>
          <w:bCs w:val="false"/>
          <w:i w:val="false"/>
          <w:iCs w:val="false"/>
          <w:color w:val="000000"/>
          <w:sz w:val="20"/>
          <w:szCs w:val="20"/>
        </w:rPr>
        <w:t xml:space="preserve">This AI Training Data Validation Checklist documents the bias and data quality validation performed on AI training data prior to its use in model development and approval, in support of control CTL-mu0tgvxq (ISO 27001 A.5.12 — Classification of Information). It provides a structured record demonstrating that training datasets are formally classified, reviewed for data quality and completeness, and assessed for potential bias before a model-approval decision is made. The control operates on a quarterly frequency and is owned by the Data Science Team.</w:t>
      </w:r>
    </w:p>
    <w:p>
      <w:pPr>
        <w:spacing w:after="120" w:before="0" w:line="276"/>
        <w:jc w:val="left"/>
      </w:pPr>
      <w:r>
        <w:rPr>
          <w:rFonts w:ascii="Calibri" w:cs="Calibri" w:eastAsia="Calibri" w:hAnsi="Calibri"/>
          <w:b/>
          <w:bCs/>
          <w:i/>
          <w:iCs/>
          <w:color w:val="000000"/>
          <w:sz w:val="20"/>
          <w:szCs w:val="20"/>
        </w:rPr>
        <w:t xml:space="preserve">All results recorded in this checklist are simulated, illustrative outcomes produced for a portfolio artifact. </w:t>
      </w:r>
      <w:r>
        <w:rPr>
          <w:rFonts w:ascii="Calibri" w:cs="Calibri" w:eastAsia="Calibri" w:hAnsi="Calibri"/>
          <w:b w:val="false"/>
          <w:bCs w:val="false"/>
          <w:i/>
          <w:iCs/>
          <w:color w:val="000000"/>
          <w:sz w:val="20"/>
          <w:szCs w:val="20"/>
        </w:rPr>
        <w:t xml:space="preserve">They are not derived from an actual production system, tool export, or technical event.</w:t>
      </w:r>
    </w:p>
    <w:p>
      <w:pPr>
        <w:pBdr>
          <w:bottom w:val="single" w:color="1F3864" w:sz="8"/>
        </w:pBdr>
        <w:spacing w:after="120" w:before="260"/>
      </w:pPr>
      <w:r>
        <w:rPr>
          <w:rFonts w:ascii="Calibri" w:cs="Calibri" w:eastAsia="Calibri" w:hAnsi="Calibri"/>
          <w:b/>
          <w:bCs/>
          <w:i w:val="false"/>
          <w:iCs w:val="false"/>
          <w:color w:val="1F3864"/>
          <w:sz w:val="26"/>
          <w:szCs w:val="26"/>
        </w:rPr>
        <w:t xml:space="preserve">3. Scope</w:t>
      </w:r>
    </w:p>
    <w:p>
      <w:pPr>
        <w:spacing w:after="120" w:before="0" w:line="276"/>
        <w:jc w:val="left"/>
      </w:pPr>
      <w:r>
        <w:rPr>
          <w:rFonts w:ascii="Calibri" w:cs="Calibri" w:eastAsia="Calibri" w:hAnsi="Calibri"/>
          <w:b w:val="false"/>
          <w:bCs w:val="false"/>
          <w:i w:val="false"/>
          <w:iCs w:val="false"/>
          <w:color w:val="000000"/>
          <w:sz w:val="20"/>
          <w:szCs w:val="20"/>
        </w:rPr>
        <w:t xml:space="preserve">This checklist applies to the Financial Risk Training Data Repository (AST-mu0set5n), classified High and owned by the Data Science Team, in the Production environment. Validation coverage spans data classification and handling, data quality, data lineage and provenance, representativeness and bias, and the pre-approval documentation gate.</w:t>
      </w:r>
    </w:p>
    <w:p>
      <w:pPr>
        <w:spacing w:after="120" w:before="0" w:line="276"/>
        <w:jc w:val="left"/>
      </w:pPr>
      <w:r>
        <w:rPr>
          <w:rFonts w:ascii="Calibri" w:cs="Calibri" w:eastAsia="Calibri" w:hAnsi="Calibri"/>
          <w:b w:val="false"/>
          <w:bCs w:val="false"/>
          <w:i w:val="false"/>
          <w:iCs w:val="false"/>
          <w:color w:val="000000"/>
          <w:sz w:val="20"/>
          <w:szCs w:val="20"/>
        </w:rPr>
        <w:t xml:space="preserve">Out of scope: model performance and accuracy testing, post-deployment production monitoring, and vendor data-acquisition contract review. Validation cadence is Quarterly, consistent with the frequency recorded for the control in the MindfulAI Labs Control Register.</w:t>
      </w:r>
    </w:p>
    <w:p>
      <w:pPr>
        <w:spacing w:after="120" w:before="0" w:line="276"/>
        <w:jc w:val="left"/>
      </w:pPr>
      <w:r>
        <w:rPr>
          <w:rFonts w:ascii="Calibri" w:cs="Calibri" w:eastAsia="Calibri" w:hAnsi="Calibri"/>
          <w:b/>
          <w:bCs/>
          <w:i w:val="false"/>
          <w:iCs w:val="false"/>
          <w:color w:val="000000"/>
          <w:sz w:val="20"/>
          <w:szCs w:val="20"/>
        </w:rPr>
        <w:t xml:space="preserve">Related register risk: </w:t>
      </w:r>
      <w:r>
        <w:rPr>
          <w:rFonts w:ascii="Calibri" w:cs="Calibri" w:eastAsia="Calibri" w:hAnsi="Calibri"/>
          <w:b w:val="false"/>
          <w:bCs w:val="false"/>
          <w:i w:val="false"/>
          <w:iCs w:val="false"/>
          <w:color w:val="000000"/>
          <w:sz w:val="20"/>
          <w:szCs w:val="20"/>
        </w:rPr>
        <w:t xml:space="preserve">This control contributes to the mitigation of RSK-mu0sxjrj (“Training data bias causes inaccurate clinical AI recommendations”; owned by the Clinical AI &amp; Machine Learning Team; status Open). This checklist supports data-level bias validation and does not, on its own, close that risk.</w:t>
      </w:r>
    </w:p>
    <w:p>
      <w:pPr>
        <w:pBdr>
          <w:bottom w:val="single" w:color="1F3864" w:sz="8"/>
        </w:pBdr>
        <w:spacing w:after="120" w:before="260"/>
      </w:pPr>
      <w:r>
        <w:rPr>
          <w:rFonts w:ascii="Calibri" w:cs="Calibri" w:eastAsia="Calibri" w:hAnsi="Calibri"/>
          <w:b/>
          <w:bCs/>
          <w:i w:val="false"/>
          <w:iCs w:val="false"/>
          <w:color w:val="1F3864"/>
          <w:sz w:val="26"/>
          <w:szCs w:val="26"/>
        </w:rPr>
        <w:t xml:space="preserve">4. Dataset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Dataset Name</w:t>
            </w:r>
          </w:p>
        </w:tc>
        <w:tc>
          <w:tcPr>
            <w:tcW w:type="dxa" w:w="60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Financial Risk Training Data Repository</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Asset ID</w:t>
            </w:r>
          </w:p>
        </w:tc>
        <w:tc>
          <w:tcPr>
            <w:tcW w:type="dxa" w:w="60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AST-mu0set5n</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Asset Type</w:t>
            </w:r>
          </w:p>
        </w:tc>
        <w:tc>
          <w:tcPr>
            <w:tcW w:type="dxa" w:w="60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Store</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Data Classification</w:t>
            </w:r>
          </w:p>
        </w:tc>
        <w:tc>
          <w:tcPr>
            <w:tcW w:type="dxa" w:w="60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High</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Asset Owner</w:t>
            </w:r>
          </w:p>
        </w:tc>
        <w:tc>
          <w:tcPr>
            <w:tcW w:type="dxa" w:w="60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Science Team</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Environment</w:t>
            </w:r>
          </w:p>
        </w:tc>
        <w:tc>
          <w:tcPr>
            <w:tcW w:type="dxa" w:w="60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Production</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Dataset Snapshot Version</w:t>
            </w:r>
          </w:p>
        </w:tc>
        <w:tc>
          <w:tcPr>
            <w:tcW w:type="dxa" w:w="60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v2026.Q3 (Simulated)</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Record Count</w:t>
            </w:r>
          </w:p>
        </w:tc>
        <w:tc>
          <w:tcPr>
            <w:tcW w:type="dxa" w:w="60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1,250,000 records (Simulated)</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Feature Count</w:t>
            </w:r>
          </w:p>
        </w:tc>
        <w:tc>
          <w:tcPr>
            <w:tcW w:type="dxa" w:w="60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84 features (Simulated)</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Data Dictionary Reference</w:t>
            </w:r>
          </w:p>
        </w:tc>
        <w:tc>
          <w:tcPr>
            <w:tcW w:type="dxa" w:w="60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DD-FRTDR-2026Q3 (Simulated — Evidence Required, Not Provided)</w:t>
            </w:r>
          </w:p>
        </w:tc>
      </w:tr>
    </w:tbl>
    <w:p>
      <w:pPr>
        <w:pBdr>
          <w:bottom w:val="single" w:color="1F3864" w:sz="8"/>
        </w:pBdr>
        <w:spacing w:after="120" w:before="260"/>
      </w:pPr>
      <w:r>
        <w:rPr>
          <w:rFonts w:ascii="Calibri" w:cs="Calibri" w:eastAsia="Calibri" w:hAnsi="Calibri"/>
          <w:b/>
          <w:bCs/>
          <w:i w:val="false"/>
          <w:iCs w:val="false"/>
          <w:color w:val="1F3864"/>
          <w:sz w:val="26"/>
          <w:szCs w:val="26"/>
        </w:rPr>
        <w:t xml:space="preserve">5. Validation Criteria and Results</w:t>
      </w:r>
    </w:p>
    <w:p>
      <w:pPr>
        <w:spacing w:after="120" w:before="0" w:line="276"/>
        <w:jc w:val="left"/>
      </w:pPr>
      <w:r>
        <w:rPr>
          <w:rFonts w:ascii="Calibri" w:cs="Calibri" w:eastAsia="Calibri" w:hAnsi="Calibri"/>
          <w:b/>
          <w:bCs/>
          <w:i/>
          <w:iCs/>
          <w:color w:val="000000"/>
          <w:sz w:val="20"/>
          <w:szCs w:val="20"/>
        </w:rPr>
        <w:t xml:space="preserve">The results below are simulated and illustrative. </w:t>
      </w:r>
      <w:r>
        <w:rPr>
          <w:rFonts w:ascii="Calibri" w:cs="Calibri" w:eastAsia="Calibri" w:hAnsi="Calibri"/>
          <w:b w:val="false"/>
          <w:bCs w:val="false"/>
          <w:i/>
          <w:iCs/>
          <w:color w:val="000000"/>
          <w:sz w:val="20"/>
          <w:szCs w:val="20"/>
        </w:rPr>
        <w:t xml:space="preserve">“Pass — evidence req.” indicates a criterion assessed as met within this simulated scenario for which supporting technical evidence would be required and collected in a live engagement (see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5240"/>
        <w:gridCol w:w="1700"/>
      </w:tblGrid>
      <w:tr>
        <w:trPr>
          <w:cantSplit/>
          <w:tblHeader/>
        </w:trPr>
        <w:tc>
          <w:tcPr>
            <w:tcW w:type="dxa" w:w="52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center"/>
            </w:pPr>
            <w:r>
              <w:rPr>
                <w:rFonts w:ascii="Calibri" w:cs="Calibri" w:eastAsia="Calibri" w:hAnsi="Calibri"/>
                <w:b/>
                <w:bCs/>
                <w:i w:val="false"/>
                <w:iCs w:val="false"/>
                <w:color w:val="FFFFFF"/>
                <w:sz w:val="20"/>
                <w:szCs w:val="20"/>
              </w:rPr>
              <w:t xml:space="preserv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Category</w:t>
            </w:r>
          </w:p>
        </w:tc>
        <w:tc>
          <w:tcPr>
            <w:tcW w:type="dxa" w:w="524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Validation Criterion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Result</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1</w:t>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Classification &amp; handling</w:t>
            </w:r>
          </w:p>
        </w:tc>
        <w:tc>
          <w:tcPr>
            <w:tcW w:type="dxa" w:w="524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Dataset carries an assigned classification consistent with the asset register</w:t>
            </w:r>
          </w:p>
        </w:tc>
        <w:tc>
          <w:tcPr>
            <w:tcW w:type="dxa" w:w="17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2</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Classification &amp; handling</w:t>
            </w:r>
          </w:p>
        </w:tc>
        <w:tc>
          <w:tcPr>
            <w:tcW w:type="dxa" w:w="524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Access restricted to authorized personnel (least privilege)</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 — evidence req.</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3</w:t>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Classification &amp; handling</w:t>
            </w:r>
          </w:p>
        </w:tc>
        <w:tc>
          <w:tcPr>
            <w:tcW w:type="dxa" w:w="524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Sensitive / PII fields identified and safeguards applied</w:t>
            </w:r>
          </w:p>
        </w:tc>
        <w:tc>
          <w:tcPr>
            <w:tcW w:type="dxa" w:w="17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 — evidence req.</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4</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quality</w:t>
            </w:r>
          </w:p>
        </w:tc>
        <w:tc>
          <w:tcPr>
            <w:tcW w:type="dxa" w:w="524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Completeness — required fields populated within threshold</w:t>
            </w:r>
          </w:p>
        </w:tc>
        <w:tc>
          <w:tcPr>
            <w:tcW w:type="dxa" w:w="1700"/>
            <w:tcBorders>
              <w:top w:val="single" w:color="BFBFBF" w:sz="4"/>
              <w:left w:val="single" w:color="BFBFBF" w:sz="4"/>
              <w:bottom w:val="single" w:color="BFBFBF" w:sz="4"/>
              <w:right w:val="single" w:color="BFBFBF" w:sz="4"/>
            </w:tcBorders>
            <w:shd w:fill="FCE4D6"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Exception (minor) — see OBS-01</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5</w:t>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quality</w:t>
            </w:r>
          </w:p>
        </w:tc>
        <w:tc>
          <w:tcPr>
            <w:tcW w:type="dxa" w:w="524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Accuracy — values conform to expected formats / domains</w:t>
            </w:r>
          </w:p>
        </w:tc>
        <w:tc>
          <w:tcPr>
            <w:tcW w:type="dxa" w:w="17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6</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quality</w:t>
            </w:r>
          </w:p>
        </w:tc>
        <w:tc>
          <w:tcPr>
            <w:tcW w:type="dxa" w:w="524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Consistency — no conflicting values across related fields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7</w:t>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quality</w:t>
            </w:r>
          </w:p>
        </w:tc>
        <w:tc>
          <w:tcPr>
            <w:tcW w:type="dxa" w:w="524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Validity — values within defined ranges / domains</w:t>
            </w:r>
          </w:p>
        </w:tc>
        <w:tc>
          <w:tcPr>
            <w:tcW w:type="dxa" w:w="17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8</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quality</w:t>
            </w:r>
          </w:p>
        </w:tc>
        <w:tc>
          <w:tcPr>
            <w:tcW w:type="dxa" w:w="524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Uniqueness — duplicates identified and removed / justified</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9</w:t>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quality</w:t>
            </w:r>
          </w:p>
        </w:tc>
        <w:tc>
          <w:tcPr>
            <w:tcW w:type="dxa" w:w="524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Timeliness — data reflects the defined time window</w:t>
            </w:r>
          </w:p>
        </w:tc>
        <w:tc>
          <w:tcPr>
            <w:tcW w:type="dxa" w:w="17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10</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Lineage &amp; provenance</w:t>
            </w:r>
          </w:p>
        </w:tc>
        <w:tc>
          <w:tcPr>
            <w:tcW w:type="dxa" w:w="524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Source(s) documented and authorized</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 — evidence req.</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11</w:t>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Lineage &amp; provenance</w:t>
            </w:r>
          </w:p>
        </w:tc>
        <w:tc>
          <w:tcPr>
            <w:tcW w:type="dxa" w:w="524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Collection / transformation steps documented</w:t>
            </w:r>
          </w:p>
        </w:tc>
        <w:tc>
          <w:tcPr>
            <w:tcW w:type="dxa" w:w="17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 — evidence req.</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12</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Representativeness &amp; bias</w:t>
            </w:r>
          </w:p>
        </w:tc>
        <w:tc>
          <w:tcPr>
            <w:tcW w:type="dxa" w:w="524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Population / segment coverage assessed</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13</w:t>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Representativeness &amp; bias</w:t>
            </w:r>
          </w:p>
        </w:tc>
        <w:tc>
          <w:tcPr>
            <w:tcW w:type="dxa" w:w="524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Target / class balance assessed; imbalance addressed or justified</w:t>
            </w:r>
          </w:p>
        </w:tc>
        <w:tc>
          <w:tcPr>
            <w:tcW w:type="dxa" w:w="17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14</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Representativeness &amp; bias</w:t>
            </w:r>
          </w:p>
        </w:tc>
        <w:tc>
          <w:tcPr>
            <w:tcW w:type="dxa" w:w="524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Protected attributes &amp; proxy variables reviewed for bias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 — evidence req.</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15</w:t>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Representativeness &amp; bias</w:t>
            </w:r>
          </w:p>
        </w:tc>
        <w:tc>
          <w:tcPr>
            <w:tcW w:type="dxa" w:w="524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Sampling approach reviewed for selection bias</w:t>
            </w:r>
          </w:p>
        </w:tc>
        <w:tc>
          <w:tcPr>
            <w:tcW w:type="dxa" w:w="17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16</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Documentation &amp; approval</w:t>
            </w:r>
          </w:p>
        </w:tc>
        <w:tc>
          <w:tcPr>
            <w:tcW w:type="dxa" w:w="524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dictionary current and complete</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17</w:t>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Documentation &amp; approval</w:t>
            </w:r>
          </w:p>
        </w:tc>
        <w:tc>
          <w:tcPr>
            <w:tcW w:type="dxa" w:w="524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Validation reviewed and documented prior to model-approval gate</w:t>
            </w:r>
          </w:p>
        </w:tc>
        <w:tc>
          <w:tcPr>
            <w:tcW w:type="dxa" w:w="17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bl>
    <w:p>
      <w:pPr>
        <w:pBdr>
          <w:bottom w:val="single" w:color="1F3864" w:sz="8"/>
        </w:pBdr>
        <w:spacing w:after="120" w:before="260"/>
      </w:pPr>
      <w:r>
        <w:rPr>
          <w:rFonts w:ascii="Calibri" w:cs="Calibri" w:eastAsia="Calibri" w:hAnsi="Calibri"/>
          <w:b/>
          <w:bCs/>
          <w:i w:val="false"/>
          <w:iCs w:val="false"/>
          <w:color w:val="1F3864"/>
          <w:sz w:val="26"/>
          <w:szCs w:val="26"/>
        </w:rPr>
        <w:t xml:space="preserve">6. Observation</w:t>
      </w:r>
    </w:p>
    <w:p>
      <w:pPr>
        <w:spacing w:after="60" w:before="0" w:line="276"/>
        <w:jc w:val="left"/>
      </w:pPr>
      <w:r>
        <w:rPr>
          <w:rFonts w:ascii="Calibri" w:cs="Calibri" w:eastAsia="Calibri" w:hAnsi="Calibri"/>
          <w:b/>
          <w:bCs/>
          <w:i w:val="false"/>
          <w:iCs w:val="false"/>
          <w:color w:val="1F3864"/>
          <w:sz w:val="20"/>
          <w:szCs w:val="20"/>
        </w:rPr>
        <w:t xml:space="preserve">OBS-01 — Field Completeness (Minor)</w:t>
      </w:r>
    </w:p>
    <w:p>
      <w:pPr>
        <w:spacing w:after="60" w:before="0" w:line="276"/>
        <w:jc w:val="left"/>
      </w:pPr>
      <w:r>
        <w:rPr>
          <w:rFonts w:ascii="Calibri" w:cs="Calibri" w:eastAsia="Calibri" w:hAnsi="Calibri"/>
          <w:b/>
          <w:bCs/>
          <w:i w:val="false"/>
          <w:iCs w:val="false"/>
          <w:color w:val="000000"/>
          <w:sz w:val="20"/>
          <w:szCs w:val="20"/>
        </w:rPr>
        <w:t xml:space="preserve">Condition: </w:t>
      </w:r>
      <w:r>
        <w:rPr>
          <w:rFonts w:ascii="Calibri" w:cs="Calibri" w:eastAsia="Calibri" w:hAnsi="Calibri"/>
          <w:b w:val="false"/>
          <w:bCs w:val="false"/>
          <w:i w:val="false"/>
          <w:iCs w:val="false"/>
          <w:color w:val="000000"/>
          <w:sz w:val="20"/>
          <w:szCs w:val="20"/>
        </w:rPr>
        <w:t xml:space="preserve">Approximately 0.4% of records contained a missing value in a non-critical, optional field. (Simulated sample figure.)</w:t>
      </w:r>
    </w:p>
    <w:p>
      <w:pPr>
        <w:spacing w:after="60" w:before="0" w:line="276"/>
        <w:jc w:val="left"/>
      </w:pPr>
      <w:r>
        <w:rPr>
          <w:rFonts w:ascii="Calibri" w:cs="Calibri" w:eastAsia="Calibri" w:hAnsi="Calibri"/>
          <w:b/>
          <w:bCs/>
          <w:i w:val="false"/>
          <w:iCs w:val="false"/>
          <w:color w:val="000000"/>
          <w:sz w:val="20"/>
          <w:szCs w:val="20"/>
        </w:rPr>
        <w:t xml:space="preserve">Risk / Impact: </w:t>
      </w:r>
      <w:r>
        <w:rPr>
          <w:rFonts w:ascii="Calibri" w:cs="Calibri" w:eastAsia="Calibri" w:hAnsi="Calibri"/>
          <w:b w:val="false"/>
          <w:bCs w:val="false"/>
          <w:i w:val="false"/>
          <w:iCs w:val="false"/>
          <w:color w:val="000000"/>
          <w:sz w:val="20"/>
          <w:szCs w:val="20"/>
        </w:rPr>
        <w:t xml:space="preserve">Low. The affected field is not used as a model input feature; its absence does not affect the dataset’s suitability for model development.</w:t>
      </w:r>
    </w:p>
    <w:p>
      <w:pPr>
        <w:spacing w:after="60" w:before="0" w:line="276"/>
        <w:jc w:val="left"/>
      </w:pPr>
      <w:r>
        <w:rPr>
          <w:rFonts w:ascii="Calibri" w:cs="Calibri" w:eastAsia="Calibri" w:hAnsi="Calibri"/>
          <w:b/>
          <w:bCs/>
          <w:i w:val="false"/>
          <w:iCs w:val="false"/>
          <w:color w:val="000000"/>
          <w:sz w:val="20"/>
          <w:szCs w:val="20"/>
        </w:rPr>
        <w:t xml:space="preserve">Recommendation: </w:t>
      </w:r>
      <w:r>
        <w:rPr>
          <w:rFonts w:ascii="Calibri" w:cs="Calibri" w:eastAsia="Calibri" w:hAnsi="Calibri"/>
          <w:b w:val="false"/>
          <w:bCs w:val="false"/>
          <w:i w:val="false"/>
          <w:iCs w:val="false"/>
          <w:color w:val="000000"/>
          <w:sz w:val="20"/>
          <w:szCs w:val="20"/>
        </w:rPr>
        <w:t xml:space="preserve">Continue monitoring field completeness in future quarterly validations and confirm the field remains excluded from model input.</w:t>
      </w:r>
    </w:p>
    <w:p>
      <w:pPr>
        <w:spacing w:after="60" w:before="0" w:line="276"/>
        <w:jc w:val="left"/>
      </w:pPr>
      <w:r>
        <w:rPr>
          <w:rFonts w:ascii="Calibri" w:cs="Calibri" w:eastAsia="Calibri" w:hAnsi="Calibri"/>
          <w:b/>
          <w:bCs/>
          <w:i w:val="false"/>
          <w:iCs w:val="false"/>
          <w:color w:val="000000"/>
          <w:sz w:val="20"/>
          <w:szCs w:val="20"/>
        </w:rPr>
        <w:t xml:space="preserve">Owner: </w:t>
      </w:r>
      <w:r>
        <w:rPr>
          <w:rFonts w:ascii="Calibri" w:cs="Calibri" w:eastAsia="Calibri" w:hAnsi="Calibri"/>
          <w:b w:val="false"/>
          <w:bCs w:val="false"/>
          <w:i w:val="false"/>
          <w:iCs w:val="false"/>
          <w:color w:val="000000"/>
          <w:sz w:val="20"/>
          <w:szCs w:val="20"/>
        </w:rPr>
        <w:t xml:space="preserve">Data Science Team.   </w:t>
      </w:r>
      <w:r>
        <w:rPr>
          <w:rFonts w:ascii="Calibri" w:cs="Calibri" w:eastAsia="Calibri" w:hAnsi="Calibri"/>
          <w:b/>
          <w:bCs/>
          <w:i w:val="false"/>
          <w:iCs w:val="false"/>
          <w:color w:val="000000"/>
          <w:sz w:val="20"/>
          <w:szCs w:val="20"/>
        </w:rPr>
        <w:t xml:space="preserve">Status: </w:t>
      </w:r>
      <w:r>
        <w:rPr>
          <w:rFonts w:ascii="Calibri" w:cs="Calibri" w:eastAsia="Calibri" w:hAnsi="Calibri"/>
          <w:b w:val="false"/>
          <w:bCs w:val="false"/>
          <w:i w:val="false"/>
          <w:iCs w:val="false"/>
          <w:color w:val="000000"/>
          <w:sz w:val="20"/>
          <w:szCs w:val="20"/>
        </w:rPr>
        <w:t xml:space="preserve">Records retained; reviewed and accepted by the Data Science Team.</w:t>
      </w:r>
    </w:p>
    <w:p>
      <w:pPr>
        <w:spacing w:after="120" w:before="0" w:line="276"/>
        <w:jc w:val="left"/>
      </w:pPr>
      <w:r>
        <w:rPr>
          <w:rFonts w:ascii="Calibri" w:cs="Calibri" w:eastAsia="Calibri" w:hAnsi="Calibri"/>
          <w:b/>
          <w:bCs/>
          <w:i w:val="false"/>
          <w:iCs w:val="false"/>
          <w:color w:val="000000"/>
          <w:sz w:val="20"/>
          <w:szCs w:val="20"/>
        </w:rPr>
        <w:t xml:space="preserve">Disposition: </w:t>
      </w:r>
      <w:r>
        <w:rPr>
          <w:rFonts w:ascii="Calibri" w:cs="Calibri" w:eastAsia="Calibri" w:hAnsi="Calibri"/>
          <w:b w:val="false"/>
          <w:bCs w:val="false"/>
          <w:i w:val="false"/>
          <w:iCs w:val="false"/>
          <w:color w:val="000000"/>
          <w:sz w:val="20"/>
          <w:szCs w:val="20"/>
        </w:rPr>
        <w:t xml:space="preserve">This observation is minor and does not change the Effective conclusion for the control.</w:t>
      </w:r>
    </w:p>
    <w:p>
      <w:pPr>
        <w:pBdr>
          <w:bottom w:val="single" w:color="1F3864" w:sz="8"/>
        </w:pBdr>
        <w:spacing w:after="120" w:before="260"/>
      </w:pPr>
      <w:r>
        <w:rPr>
          <w:rFonts w:ascii="Calibri" w:cs="Calibri" w:eastAsia="Calibri" w:hAnsi="Calibri"/>
          <w:b/>
          <w:bCs/>
          <w:i w:val="false"/>
          <w:iCs w:val="false"/>
          <w:color w:val="1F3864"/>
          <w:sz w:val="26"/>
          <w:szCs w:val="26"/>
        </w:rPr>
        <w:t xml:space="preserve">7. Conclusion</w:t>
      </w:r>
    </w:p>
    <w:p>
      <w:pPr>
        <w:spacing w:after="120" w:before="0" w:line="276"/>
        <w:jc w:val="left"/>
      </w:pPr>
      <w:r>
        <w:rPr>
          <w:rFonts w:ascii="Calibri" w:cs="Calibri" w:eastAsia="Calibri" w:hAnsi="Calibri"/>
          <w:b w:val="false"/>
          <w:bCs w:val="false"/>
          <w:i w:val="false"/>
          <w:iCs w:val="false"/>
          <w:color w:val="000000"/>
          <w:sz w:val="20"/>
          <w:szCs w:val="20"/>
        </w:rPr>
        <w:t xml:space="preserve">Within this simulated GRC scenario, the documented validation results are consistent with the Effective rating assigned to CTL-mu0tgvxq in the MindfulAI Labs Control Register. The results are illustrative and do not represent testing performed against an actual production environment.</w:t>
      </w:r>
    </w:p>
    <w:p>
      <w:pPr>
        <w:pBdr>
          <w:bottom w:val="single" w:color="1F3864" w:sz="8"/>
        </w:pBdr>
        <w:spacing w:after="120" w:before="260"/>
      </w:pPr>
      <w:r>
        <w:rPr>
          <w:rFonts w:ascii="Calibri" w:cs="Calibri" w:eastAsia="Calibri" w:hAnsi="Calibri"/>
          <w:b/>
          <w:bCs/>
          <w:i w:val="false"/>
          <w:iCs w:val="false"/>
          <w:color w:val="1F3864"/>
          <w:sz w:val="26"/>
          <w:szCs w:val="26"/>
        </w:rPr>
        <w:t xml:space="preserve">8. Simulated Evidence Requirements — Not Provided</w:t>
      </w:r>
    </w:p>
    <w:p>
      <w:pPr>
        <w:spacing w:after="120" w:before="0" w:line="276"/>
        <w:jc w:val="left"/>
      </w:pPr>
      <w:r>
        <w:rPr>
          <w:rFonts w:ascii="Calibri" w:cs="Calibri" w:eastAsia="Calibri" w:hAnsi="Calibri"/>
          <w:b w:val="false"/>
          <w:bCs w:val="false"/>
          <w:i w:val="false"/>
          <w:iCs w:val="false"/>
          <w:color w:val="000000"/>
          <w:sz w:val="20"/>
          <w:szCs w:val="20"/>
        </w:rPr>
        <w:t xml:space="preserve">In a live engagement, the following evidence would be requested and retained to support the conclusions recorded above. For this simulated artifact, no such evidence has been generated or attached.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cantSplit/>
          <w:tblHeader/>
        </w:trPr>
        <w:tc>
          <w:tcPr>
            <w:tcW w:type="dxa" w:w="636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Evidence Item</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Status</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quality profiling report</w:t>
            </w:r>
          </w:p>
        </w:tc>
        <w:tc>
          <w:tcPr>
            <w:tcW w:type="dxa" w:w="30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Evidence Required — Not Provided (Simulated Requirement)</w:t>
            </w:r>
          </w:p>
        </w:tc>
      </w:tr>
      <w:tr>
        <w:trPr>
          <w:cantSplit/>
        </w:trPr>
        <w:tc>
          <w:tcPr>
            <w:tcW w:type="dxa" w:w="636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Bias / representativeness assessment summary</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Evidence Required — Not Provided (Simulated Requirement)</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lineage documentation</w:t>
            </w:r>
          </w:p>
        </w:tc>
        <w:tc>
          <w:tcPr>
            <w:tcW w:type="dxa" w:w="30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Evidence Required — Not Provided (Simulated Requirement)</w:t>
            </w:r>
          </w:p>
        </w:tc>
      </w:tr>
      <w:tr>
        <w:trPr>
          <w:cantSplit/>
        </w:trPr>
        <w:tc>
          <w:tcPr>
            <w:tcW w:type="dxa" w:w="636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Data classification report</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Evidence Required — Not Provided (Simulated Requirement)</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Access-review confirmation (authorized-personnel listing)</w:t>
            </w:r>
          </w:p>
        </w:tc>
        <w:tc>
          <w:tcPr>
            <w:tcW w:type="dxa" w:w="30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Evidence Required — Not Provided (Simulated Requirement)</w:t>
            </w:r>
          </w:p>
        </w:tc>
      </w:tr>
    </w:tbl>
    <w:p>
      <w:pPr>
        <w:pBdr>
          <w:bottom w:val="single" w:color="1F3864" w:sz="8"/>
        </w:pBdr>
        <w:spacing w:after="120" w:before="260"/>
      </w:pPr>
      <w:r>
        <w:rPr>
          <w:rFonts w:ascii="Calibri" w:cs="Calibri" w:eastAsia="Calibri" w:hAnsi="Calibri"/>
          <w:b/>
          <w:bCs/>
          <w:i w:val="false"/>
          <w:iCs w:val="false"/>
          <w:color w:val="1F3864"/>
          <w:sz w:val="26"/>
          <w:szCs w:val="26"/>
        </w:rPr>
        <w:t xml:space="preserve">9. Reviewer / Sign-Off</w:t>
      </w:r>
    </w:p>
    <w:p>
      <w:pPr>
        <w:spacing w:after="100" w:before="0" w:line="276"/>
        <w:jc w:val="left"/>
      </w:pPr>
      <w:r>
        <w:rPr>
          <w:rFonts w:ascii="Calibri" w:cs="Calibri" w:eastAsia="Calibri" w:hAnsi="Calibri"/>
          <w:b w:val="false"/>
          <w:bCs w:val="false"/>
          <w:i/>
          <w:iCs/>
          <w:color w:val="000000"/>
          <w:sz w:val="20"/>
          <w:szCs w:val="20"/>
        </w:rPr>
        <w:t xml:space="preserve">Sign-off fields are intentionally left blank in this simulated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560"/>
        <w:gridCol w:w="14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Role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Name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Title</w:t>
            </w:r>
          </w:p>
        </w:tc>
        <w:tc>
          <w:tcPr>
            <w:tcW w:type="dxa" w:w="156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Signature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Date</w:t>
            </w:r>
          </w:p>
        </w:tc>
      </w:tr>
      <w:tr>
        <w:trPr>
          <w:cantSplit/>
          <w:trHeight w:val="520" w:hRule="atLeast"/>
        </w:trPr>
        <w:tc>
          <w:tcPr>
            <w:tcW w:type="dxa" w:w="260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Validation Performed By (Data Science Team)</w:t>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5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4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r>
      <w:tr>
        <w:trPr>
          <w:cantSplit/>
          <w:trHeight w:val="520" w:hRule="atLeast"/>
        </w:trPr>
        <w:tc>
          <w:tcPr>
            <w:tcW w:type="dxa" w:w="260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Independent / Peer Reviewer</w:t>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5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4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r>
      <w:tr>
        <w:trPr>
          <w:cantSplit/>
          <w:trHeight w:val="520" w:hRule="atLeast"/>
        </w:trPr>
        <w:tc>
          <w:tcPr>
            <w:tcW w:type="dxa" w:w="2600"/>
            <w:tcBorders>
              <w:top w:val="single" w:color="BFBFBF" w:sz="4"/>
              <w:left w:val="single" w:color="BFBFBF" w:sz="4"/>
              <w:bottom w:val="single" w:color="BFBFBF" w:sz="4"/>
              <w:right w:val="single" w:color="BFBFBF" w:sz="4"/>
            </w:tcBorders>
            <w:shd w:fill="D9E1F2"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000000"/>
                <w:sz w:val="20"/>
                <w:szCs w:val="20"/>
              </w:rPr>
              <w:t xml:space="preserve">Approver</w:t>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5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4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r>
    </w:tbl>
    <w:p>
      <w:pPr>
        <w:pBdr>
          <w:bottom w:val="single" w:color="1F3864" w:sz="8"/>
        </w:pBdr>
        <w:spacing w:after="120" w:before="260"/>
      </w:pPr>
      <w:r>
        <w:rPr>
          <w:rFonts w:ascii="Calibri" w:cs="Calibri" w:eastAsia="Calibri" w:hAnsi="Calibri"/>
          <w:b/>
          <w:bCs/>
          <w:i w:val="false"/>
          <w:iCs w:val="false"/>
          <w:color w:val="1F3864"/>
          <w:sz w:val="26"/>
          <w:szCs w:val="26"/>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4460"/>
        <w:gridCol w:w="1800"/>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Version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Date</w:t>
            </w:r>
          </w:p>
        </w:tc>
        <w:tc>
          <w:tcPr>
            <w:tcW w:type="dxa" w:w="446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Description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8"/>
              <w:bottom w:type="dxa" w:w="60"/>
              <w:right w:type="dxa" w:w="108"/>
            </w:tcMar>
            <w:vAlign w:val="center"/>
          </w:tcPr>
          <w:p>
            <w:pPr>
              <w:spacing w:after="0" w:line="259"/>
              <w:jc w:val="left"/>
            </w:pPr>
            <w:r>
              <w:rPr>
                <w:rFonts w:ascii="Calibri" w:cs="Calibri" w:eastAsia="Calibri" w:hAnsi="Calibri"/>
                <w:b/>
                <w:bCs/>
                <w:i w:val="false"/>
                <w:iCs w:val="false"/>
                <w:color w:val="FFFFFF"/>
                <w:sz w:val="20"/>
                <w:szCs w:val="20"/>
              </w:rPr>
              <w:t xml:space="preserve">Author</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1.0</w:t>
            </w:r>
          </w:p>
        </w:tc>
        <w:tc>
          <w:tcPr>
            <w:tcW w:type="dxa" w:w="19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September 14, 2026</w:t>
            </w:r>
          </w:p>
        </w:tc>
        <w:tc>
          <w:tcPr>
            <w:tcW w:type="dxa" w:w="446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Initial creation of the AI Training Data Validation Checklist supporting CTL-mu0tgvxq.</w:t>
            </w:r>
          </w:p>
        </w:tc>
        <w:tc>
          <w:tcPr>
            <w:tcW w:type="dxa" w:w="1800"/>
            <w:tcBorders>
              <w:top w:val="single" w:color="BFBFBF" w:sz="4"/>
              <w:left w:val="single" w:color="BFBFBF" w:sz="4"/>
              <w:bottom w:val="single" w:color="BFBFBF" w:sz="4"/>
              <w:right w:val="single" w:color="BFBFBF" w:sz="4"/>
            </w:tcBorders>
            <w:tcMar>
              <w:top w:type="dxa" w:w="60"/>
              <w:left w:type="dxa" w:w="108"/>
              <w:bottom w:type="dxa" w:w="60"/>
              <w:right w:type="dxa" w:w="108"/>
            </w:tcMar>
            <w:vAlign w:val="center"/>
          </w:tcPr>
          <w:p>
            <w:pPr>
              <w:spacing w:after="0" w:line="259"/>
              <w:jc w:val="left"/>
            </w:pPr>
            <w:r>
              <w:rPr>
                <w:rFonts w:ascii="Calibri" w:cs="Calibri" w:eastAsia="Calibri" w:hAnsi="Calibri"/>
                <w:b w:val="false"/>
                <w:bCs w:val="false"/>
                <w:i w:val="false"/>
                <w:iCs w:val="false"/>
                <w:color w:val="000000"/>
                <w:sz w:val="20"/>
                <w:szCs w:val="20"/>
              </w:rPr>
              <w:t xml:space="preserve">Maxine Jones, GRC Analyst</w:t>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D9E1F2" w:color="auto" w:val="clear"/>
            <w:tcMar>
              <w:top w:type="dxa" w:w="120"/>
              <w:left w:type="dxa" w:w="160"/>
              <w:bottom w:type="dxa" w:w="120"/>
              <w:right w:type="dxa" w:w="160"/>
            </w:tcMar>
          </w:tcPr>
          <w:p>
            <w:pPr>
              <w:spacing w:after="0" w:line="259"/>
            </w:pPr>
            <w:r>
              <w:rPr>
                <w:rFonts w:ascii="Calibri" w:cs="Calibri" w:eastAsia="Calibri" w:hAnsi="Calibri"/>
                <w:b/>
                <w:bCs/>
                <w:i w:val="false"/>
                <w:iCs w:val="false"/>
                <w:color w:val="1F3864"/>
                <w:sz w:val="20"/>
                <w:szCs w:val="20"/>
              </w:rPr>
              <w:t xml:space="preserve">Portfolio Simulation Disclosure — </w:t>
            </w:r>
            <w:r>
              <w:rPr>
                <w:rFonts w:ascii="Calibri" w:cs="Calibri" w:eastAsia="Calibri" w:hAnsi="Calibri"/>
                <w:b w:val="false"/>
                <w:bCs w:val="false"/>
                <w:i/>
                <w:iCs/>
                <w:color w:val="000000"/>
                <w:sz w:val="20"/>
                <w:szCs w:val="20"/>
              </w:rPr>
              <w:t xml:space="preserve">This artifact was created as part of a simulated GRC practice environment for educational and portfolio purposes and does not represent the records or control environment of an actual organization.</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after="0" w:before="60"/>
      <w:jc w:val="center"/>
    </w:pPr>
    <w:r>
      <w:rPr>
        <w:rFonts w:ascii="Calibri" w:cs="Calibri" w:eastAsia="Calibri" w:hAnsi="Calibri"/>
        <w:b w:val="false"/>
        <w:bCs w:val="false"/>
        <w:i w:val="false"/>
        <w:iCs w:val="false"/>
        <w:color w:val="808080"/>
        <w:sz w:val="16"/>
        <w:szCs w:val="16"/>
      </w:rPr>
      <w:t xml:space="preserve">MAL-CHK-001  |  Confidential — Internal Use Only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val="false"/>
        <w:iCs w:val="false"/>
        <w:color w:val="A6A6A6"/>
        <w:sz w:val="16"/>
        <w:szCs w:val="16"/>
      </w:rPr>
      <w:t xml:space="preserve">MindfulAI Labs — Simulated GRC Practice Environment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Training Data Validation Checklist</dc:title>
  <dc:creator>Maxine Jones</dc:creator>
  <dc:description>Simulated GRC portfolio artifact supporting CTL-mu0tgvxq</dc:description>
  <cp:lastModifiedBy>Un-named</cp:lastModifiedBy>
  <cp:revision>1</cp:revision>
  <dcterms:created xsi:type="dcterms:W3CDTF">2026-09-14T20:46:31.067Z</dcterms:created>
  <dcterms:modified xsi:type="dcterms:W3CDTF">2026-09-14T20:46:31.067Z</dcterms:modified>
</cp:coreProperties>
</file>

<file path=docProps/custom.xml><?xml version="1.0" encoding="utf-8"?>
<Properties xmlns="http://schemas.openxmlformats.org/officeDocument/2006/custom-properties" xmlns:vt="http://schemas.openxmlformats.org/officeDocument/2006/docPropsVTypes"/>
</file>