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76"/>
        <w:jc w:val="left"/>
      </w:pPr>
      <w:r>
        <w:rPr>
          <w:b/>
          <w:bCs/>
          <w:color w:val="2F5496"/>
          <w:sz w:val="26"/>
          <w:szCs w:val="26"/>
        </w:rPr>
        <w:t xml:space="preserve">MindfulAI Labs</w:t>
      </w:r>
    </w:p>
    <w:p>
      <w:pPr>
        <w:spacing w:after="60" w:before="0" w:line="276"/>
        <w:jc w:val="left"/>
      </w:pPr>
      <w:r>
        <w:rPr>
          <w:i/>
          <w:iCs/>
          <w:color w:val="7F7F7F"/>
          <w:sz w:val="19"/>
          <w:szCs w:val="19"/>
        </w:rPr>
        <w:t xml:space="preserve">Simulated GRC Practice Environment</w:t>
      </w:r>
    </w:p>
    <w:p>
      <w:pPr>
        <w:pBdr>
          <w:bottom w:val="single" w:color="1F3864" w:sz="12" w:space="4"/>
        </w:pBdr>
        <w:spacing w:after="40"/>
      </w:pPr>
      <w:r>
        <w:rPr>
          <w:b/>
          <w:bCs/>
          <w:color w:val="1A1A1A"/>
          <w:sz w:val="33"/>
          <w:szCs w:val="33"/>
        </w:rPr>
        <w:t xml:space="preserve">Security Logging &amp; Monitoring Control Assessment</w:t>
      </w:r>
    </w:p>
    <w:p>
      <w:pPr>
        <w:spacing w:after="220" w:before="40" w:line="276"/>
        <w:jc w:val="left"/>
      </w:pPr>
      <w:r>
        <w:rPr>
          <w:color w:val="7F7F7F"/>
          <w:sz w:val="20"/>
          <w:szCs w:val="20"/>
        </w:rPr>
        <w:t xml:space="preserve">Production AI Systems — CTL-008  ·  CIS Controls CIS 8</w:t>
      </w:r>
    </w:p>
    <w:p>
      <w:pPr>
        <w:pStyle w:val="Heading1"/>
        <w:pBdr>
          <w:bottom w:val="single" w:color="B4BED4" w:sz="6" w:space="3"/>
        </w:pBdr>
      </w:pPr>
      <w:r>
        <w:t xml:space="preserve">1. Document Control</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100"/>
        <w:gridCol w:w="6980"/>
      </w:tblGrid>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Document Title</w:t>
            </w:r>
          </w:p>
        </w:tc>
        <w:tc>
          <w:tcPr>
            <w:tcW w:type="dxa" w:w="6980"/>
            <w:tcMar>
              <w:top w:type="dxa" w:w="50"/>
              <w:left w:type="dxa" w:w="90"/>
              <w:bottom w:type="dxa" w:w="50"/>
              <w:right w:type="dxa" w:w="90"/>
            </w:tcMar>
            <w:vAlign w:val="center"/>
          </w:tcPr>
          <w:p>
            <w:pPr>
              <w:spacing w:after="0" w:line="264"/>
            </w:pPr>
            <w:r>
              <w:rPr>
                <w:color w:val="222222"/>
                <w:sz w:val="18"/>
                <w:szCs w:val="18"/>
              </w:rPr>
              <w:t xml:space="preserve">Security Logging &amp; Monitoring Control Assessment — Production AI Systems</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Document ID</w:t>
            </w:r>
          </w:p>
        </w:tc>
        <w:tc>
          <w:tcPr>
            <w:tcW w:type="dxa" w:w="6980"/>
            <w:tcMar>
              <w:top w:type="dxa" w:w="50"/>
              <w:left w:type="dxa" w:w="90"/>
              <w:bottom w:type="dxa" w:w="50"/>
              <w:right w:type="dxa" w:w="90"/>
            </w:tcMar>
            <w:vAlign w:val="center"/>
          </w:tcPr>
          <w:p>
            <w:pPr>
              <w:spacing w:after="0" w:line="264"/>
            </w:pPr>
            <w:r>
              <w:rPr>
                <w:color w:val="222222"/>
                <w:sz w:val="18"/>
                <w:szCs w:val="18"/>
              </w:rPr>
              <w:t xml:space="preserve">MAL-LMA-008</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Version</w:t>
            </w:r>
          </w:p>
        </w:tc>
        <w:tc>
          <w:tcPr>
            <w:tcW w:type="dxa" w:w="6980"/>
            <w:tcMar>
              <w:top w:type="dxa" w:w="50"/>
              <w:left w:type="dxa" w:w="90"/>
              <w:bottom w:type="dxa" w:w="50"/>
              <w:right w:type="dxa" w:w="90"/>
            </w:tcMar>
            <w:vAlign w:val="center"/>
          </w:tcPr>
          <w:p>
            <w:pPr>
              <w:spacing w:after="0" w:line="264"/>
            </w:pPr>
            <w:r>
              <w:rPr>
                <w:color w:val="222222"/>
                <w:sz w:val="18"/>
                <w:szCs w:val="18"/>
              </w:rPr>
              <w:t xml:space="preserve">1.0</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Classification</w:t>
            </w:r>
          </w:p>
        </w:tc>
        <w:tc>
          <w:tcPr>
            <w:tcW w:type="dxa" w:w="6980"/>
            <w:tcMar>
              <w:top w:type="dxa" w:w="50"/>
              <w:left w:type="dxa" w:w="90"/>
              <w:bottom w:type="dxa" w:w="50"/>
              <w:right w:type="dxa" w:w="90"/>
            </w:tcMar>
            <w:vAlign w:val="center"/>
          </w:tcPr>
          <w:p>
            <w:pPr>
              <w:spacing w:after="0" w:line="264"/>
            </w:pPr>
            <w:r>
              <w:rPr>
                <w:color w:val="222222"/>
                <w:sz w:val="18"/>
                <w:szCs w:val="18"/>
              </w:rPr>
              <w:t xml:space="preserve">Confidential — Internal Use Only</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Control Reference</w:t>
            </w:r>
          </w:p>
        </w:tc>
        <w:tc>
          <w:tcPr>
            <w:tcW w:type="dxa" w:w="6980"/>
            <w:tcMar>
              <w:top w:type="dxa" w:w="50"/>
              <w:left w:type="dxa" w:w="90"/>
              <w:bottom w:type="dxa" w:w="50"/>
              <w:right w:type="dxa" w:w="90"/>
            </w:tcMar>
            <w:vAlign w:val="center"/>
          </w:tcPr>
          <w:p>
            <w:pPr>
              <w:spacing w:after="0" w:line="264"/>
            </w:pPr>
            <w:r>
              <w:rPr>
                <w:color w:val="222222"/>
                <w:sz w:val="18"/>
                <w:szCs w:val="18"/>
              </w:rPr>
              <w:t xml:space="preserve">CTL-008 — Centralized Security Logging &amp; Review for Production AI Systems</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Framework Mapping</w:t>
            </w:r>
          </w:p>
        </w:tc>
        <w:tc>
          <w:tcPr>
            <w:tcW w:type="dxa" w:w="6980"/>
            <w:tcMar>
              <w:top w:type="dxa" w:w="50"/>
              <w:left w:type="dxa" w:w="90"/>
              <w:bottom w:type="dxa" w:w="50"/>
              <w:right w:type="dxa" w:w="90"/>
            </w:tcMar>
            <w:vAlign w:val="center"/>
          </w:tcPr>
          <w:p>
            <w:pPr>
              <w:spacing w:after="0" w:line="264"/>
            </w:pPr>
            <w:r>
              <w:rPr>
                <w:color w:val="222222"/>
                <w:sz w:val="18"/>
                <w:szCs w:val="18"/>
              </w:rPr>
              <w:t xml:space="preserve">CIS Controls v8 — Control 8 (Audit Log Management)</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Control Owner</w:t>
            </w:r>
          </w:p>
        </w:tc>
        <w:tc>
          <w:tcPr>
            <w:tcW w:type="dxa" w:w="6980"/>
            <w:tcMar>
              <w:top w:type="dxa" w:w="50"/>
              <w:left w:type="dxa" w:w="90"/>
              <w:bottom w:type="dxa" w:w="50"/>
              <w:right w:type="dxa" w:w="90"/>
            </w:tcMar>
            <w:vAlign w:val="center"/>
          </w:tcPr>
          <w:p>
            <w:pPr>
              <w:spacing w:after="0" w:line="264"/>
            </w:pPr>
            <w:r>
              <w:rPr>
                <w:color w:val="222222"/>
                <w:sz w:val="18"/>
                <w:szCs w:val="18"/>
              </w:rPr>
              <w:t xml:space="preserve">Security Operations Team</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In-Scope Assets</w:t>
            </w:r>
          </w:p>
        </w:tc>
        <w:tc>
          <w:tcPr>
            <w:tcW w:type="dxa" w:w="6980"/>
            <w:tcMar>
              <w:top w:type="dxa" w:w="50"/>
              <w:left w:type="dxa" w:w="90"/>
              <w:bottom w:type="dxa" w:w="50"/>
              <w:right w:type="dxa" w:w="90"/>
            </w:tcMar>
            <w:vAlign w:val="center"/>
          </w:tcPr>
          <w:p>
            <w:pPr>
              <w:spacing w:after="0" w:line="264"/>
            </w:pPr>
            <w:r>
              <w:rPr>
                <w:color w:val="222222"/>
                <w:sz w:val="18"/>
                <w:szCs w:val="18"/>
              </w:rPr>
              <w:t xml:space="preserve">AST-001, AST-002, AST-007 (log sources); central logging capability — no distinct asset (see Section 3)</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Prepared By</w:t>
            </w:r>
          </w:p>
        </w:tc>
        <w:tc>
          <w:tcPr>
            <w:tcW w:type="dxa" w:w="6980"/>
            <w:tcMar>
              <w:top w:type="dxa" w:w="50"/>
              <w:left w:type="dxa" w:w="90"/>
              <w:bottom w:type="dxa" w:w="50"/>
              <w:right w:type="dxa" w:w="90"/>
            </w:tcMar>
            <w:vAlign w:val="center"/>
          </w:tcPr>
          <w:p>
            <w:pPr>
              <w:spacing w:after="0" w:line="264"/>
            </w:pPr>
            <w:r>
              <w:rPr>
                <w:color w:val="222222"/>
                <w:sz w:val="18"/>
                <w:szCs w:val="18"/>
              </w:rPr>
              <w:t xml:space="preserve">Maxine Jones, GRC Analyst</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Assessment Period</w:t>
            </w:r>
          </w:p>
        </w:tc>
        <w:tc>
          <w:tcPr>
            <w:tcW w:type="dxa" w:w="6980"/>
            <w:tcMar>
              <w:top w:type="dxa" w:w="50"/>
              <w:left w:type="dxa" w:w="90"/>
              <w:bottom w:type="dxa" w:w="50"/>
              <w:right w:type="dxa" w:w="90"/>
            </w:tcMar>
            <w:vAlign w:val="center"/>
          </w:tcPr>
          <w:p>
            <w:pPr>
              <w:spacing w:after="0" w:line="264"/>
            </w:pPr>
            <w:r>
              <w:rPr>
                <w:color w:val="222222"/>
                <w:sz w:val="18"/>
                <w:szCs w:val="18"/>
              </w:rPr>
              <w:t xml:space="preserve">Q3 2026</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Assessment Date</w:t>
            </w:r>
          </w:p>
        </w:tc>
        <w:tc>
          <w:tcPr>
            <w:tcW w:type="dxa" w:w="6980"/>
            <w:tcMar>
              <w:top w:type="dxa" w:w="50"/>
              <w:left w:type="dxa" w:w="90"/>
              <w:bottom w:type="dxa" w:w="50"/>
              <w:right w:type="dxa" w:w="90"/>
            </w:tcMar>
            <w:vAlign w:val="center"/>
          </w:tcPr>
          <w:p>
            <w:pPr>
              <w:spacing w:after="0" w:line="264"/>
            </w:pPr>
            <w:r>
              <w:rPr>
                <w:color w:val="222222"/>
                <w:sz w:val="18"/>
                <w:szCs w:val="18"/>
              </w:rPr>
              <w:t xml:space="preserve">______________________  </w:t>
            </w:r>
            <w:r>
              <w:rPr>
                <w:color w:val="7F7F7F"/>
                <w:sz w:val="18"/>
                <w:szCs w:val="18"/>
              </w:rPr>
              <w:t xml:space="preserve">(within Q3 2026 assessment period)</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Assessment Frequency (Control)</w:t>
            </w:r>
          </w:p>
        </w:tc>
        <w:tc>
          <w:tcPr>
            <w:tcW w:type="dxa" w:w="6980"/>
            <w:tcMar>
              <w:top w:type="dxa" w:w="50"/>
              <w:left w:type="dxa" w:w="90"/>
              <w:bottom w:type="dxa" w:w="50"/>
              <w:right w:type="dxa" w:w="90"/>
            </w:tcMar>
            <w:vAlign w:val="center"/>
          </w:tcPr>
          <w:p>
            <w:pPr>
              <w:spacing w:after="0" w:line="264"/>
            </w:pPr>
            <w:r>
              <w:rPr>
                <w:color w:val="222222"/>
                <w:sz w:val="18"/>
                <w:szCs w:val="18"/>
              </w:rPr>
              <w:t xml:space="preserve">Continuous</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Status</w:t>
            </w:r>
          </w:p>
        </w:tc>
        <w:tc>
          <w:tcPr>
            <w:tcW w:type="dxa" w:w="6980"/>
            <w:tcMar>
              <w:top w:type="dxa" w:w="50"/>
              <w:left w:type="dxa" w:w="90"/>
              <w:bottom w:type="dxa" w:w="50"/>
              <w:right w:type="dxa" w:w="90"/>
            </w:tcMar>
            <w:vAlign w:val="center"/>
          </w:tcPr>
          <w:p>
            <w:pPr>
              <w:spacing w:after="0" w:line="264"/>
            </w:pPr>
            <w:r>
              <w:rPr>
                <w:color w:val="222222"/>
                <w:sz w:val="18"/>
                <w:szCs w:val="18"/>
              </w:rPr>
              <w:t xml:space="preserve">Final — Portfolio Simulation</w:t>
            </w:r>
          </w:p>
        </w:tc>
      </w:tr>
      <w:tr>
        <w:trPr>
          <w:cantSplit/>
        </w:trPr>
        <w:tc>
          <w:tcPr>
            <w:tcW w:type="dxa" w:w="31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Overall Effectiveness Conclusion</w:t>
            </w:r>
          </w:p>
        </w:tc>
        <w:tc>
          <w:tcPr>
            <w:tcW w:type="dxa" w:w="6980"/>
            <w:tcMar>
              <w:top w:type="dxa" w:w="50"/>
              <w:left w:type="dxa" w:w="90"/>
              <w:bottom w:type="dxa" w:w="50"/>
              <w:right w:type="dxa" w:w="90"/>
            </w:tcMar>
            <w:vAlign w:val="center"/>
          </w:tcPr>
          <w:p>
            <w:pPr>
              <w:spacing w:after="0" w:line="264"/>
            </w:pPr>
            <w:r>
              <w:rPr>
                <w:b/>
                <w:bCs/>
                <w:color w:val="222222"/>
                <w:sz w:val="18"/>
                <w:szCs w:val="18"/>
              </w:rPr>
              <w:t xml:space="preserve">Partially Effective</w:t>
            </w:r>
          </w:p>
        </w:tc>
      </w:tr>
    </w:tbl>
    <w:p>
      <w:pPr>
        <w:pStyle w:val="Heading1"/>
        <w:pBdr>
          <w:bottom w:val="single" w:color="B4BED4" w:sz="6" w:space="3"/>
        </w:pBdr>
      </w:pPr>
      <w:r>
        <w:t xml:space="preserve">2. Purpose</w:t>
      </w:r>
    </w:p>
    <w:p>
      <w:pPr>
        <w:spacing w:after="120" w:before="0" w:line="276"/>
        <w:jc w:val="left"/>
      </w:pPr>
      <w:r>
        <w:rPr>
          <w:color w:val="222222"/>
          <w:sz w:val="21"/>
          <w:szCs w:val="21"/>
        </w:rPr>
        <w:t xml:space="preserve">This assessment evaluates the control that centralizes and reviews security logs for suspicious activity affecting production AI systems, in support of CTL-008 (CIS Controls, Control 8 — Audit Log Management). It examines whether security logs from the in-scope production AI systems are collected, centralized, retained, and reviewed to detect suspicious activity, on the control’s continuous frequency. The control is owned by the Security Operations Team.</w:t>
      </w:r>
    </w:p>
    <w:p>
      <w:pPr>
        <w:spacing w:after="120" w:before="0" w:line="276"/>
        <w:jc w:val="left"/>
      </w:pPr>
      <w:r>
        <w:rPr>
          <w:b/>
          <w:bCs/>
          <w:i/>
          <w:iCs/>
          <w:color w:val="222222"/>
          <w:sz w:val="21"/>
          <w:szCs w:val="21"/>
        </w:rPr>
        <w:t xml:space="preserve">All results recorded in this assessment are simulated, illustrative outcomes produced for a portfolio artifact.</w:t>
      </w:r>
      <w:r>
        <w:rPr>
          <w:i/>
          <w:iCs/>
          <w:color w:val="222222"/>
          <w:sz w:val="21"/>
          <w:szCs w:val="21"/>
        </w:rPr>
        <w:t xml:space="preserve"> They are not derived from an actual SIEM or central logging platform, log data, alert, or review record, and no production system or monitoring platform was accessed.</w:t>
      </w:r>
    </w:p>
    <w:p>
      <w:pPr>
        <w:pStyle w:val="Heading1"/>
        <w:pBdr>
          <w:bottom w:val="single" w:color="B4BED4" w:sz="6" w:space="3"/>
        </w:pBdr>
      </w:pPr>
      <w:r>
        <w:t xml:space="preserve">3. Scope</w:t>
      </w:r>
    </w:p>
    <w:p>
      <w:pPr>
        <w:spacing w:after="120" w:before="0" w:line="276"/>
        <w:jc w:val="left"/>
      </w:pPr>
      <w:r>
        <w:rPr>
          <w:b/>
          <w:bCs/>
          <w:color w:val="222222"/>
          <w:sz w:val="21"/>
          <w:szCs w:val="21"/>
        </w:rPr>
        <w:t xml:space="preserve">In scope. </w:t>
      </w:r>
      <w:r>
        <w:rPr>
          <w:color w:val="222222"/>
          <w:sz w:val="21"/>
          <w:szCs w:val="21"/>
        </w:rPr>
        <w:t xml:space="preserve">The assessment covers the centralized logging and review of security logs from the following production AI systems (the log sources):</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300"/>
        <w:gridCol w:w="2450"/>
        <w:gridCol w:w="1450"/>
        <w:gridCol w:w="1380"/>
        <w:gridCol w:w="1300"/>
        <w:gridCol w:w="2200"/>
      </w:tblGrid>
      <w:tr>
        <w:trPr>
          <w:cantSplit/>
          <w:tblHeader/>
        </w:trPr>
        <w:tc>
          <w:tcPr>
            <w:tcW w:type="dxa" w:w="13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Asset ID</w:t>
            </w:r>
          </w:p>
        </w:tc>
        <w:tc>
          <w:tcPr>
            <w:tcW w:type="dxa" w:w="245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Asset Name</w:t>
            </w:r>
          </w:p>
        </w:tc>
        <w:tc>
          <w:tcPr>
            <w:tcW w:type="dxa" w:w="145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Type</w:t>
            </w:r>
          </w:p>
        </w:tc>
        <w:tc>
          <w:tcPr>
            <w:tcW w:type="dxa" w:w="138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Classification</w:t>
            </w:r>
          </w:p>
        </w:tc>
        <w:tc>
          <w:tcPr>
            <w:tcW w:type="dxa" w:w="13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Environment</w:t>
            </w:r>
          </w:p>
        </w:tc>
        <w:tc>
          <w:tcPr>
            <w:tcW w:type="dxa" w:w="22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Owner</w:t>
            </w:r>
          </w:p>
        </w:tc>
      </w:tr>
      <w:tr>
        <w:trPr>
          <w:cantSplit/>
        </w:trPr>
        <w:tc>
          <w:tcPr>
            <w:tcW w:type="dxa" w:w="13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AST-001</w:t>
            </w:r>
          </w:p>
        </w:tc>
        <w:tc>
          <w:tcPr>
            <w:tcW w:type="dxa" w:w="245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Clinical Diagnostic AI Model</w:t>
            </w:r>
          </w:p>
        </w:tc>
        <w:tc>
          <w:tcPr>
            <w:tcW w:type="dxa" w:w="145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Application</w:t>
            </w:r>
          </w:p>
        </w:tc>
        <w:tc>
          <w:tcPr>
            <w:tcW w:type="dxa" w:w="13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Critical</w:t>
            </w:r>
          </w:p>
        </w:tc>
        <w:tc>
          <w:tcPr>
            <w:tcW w:type="dxa" w:w="13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Production</w:t>
            </w:r>
          </w:p>
        </w:tc>
        <w:tc>
          <w:tcPr>
            <w:tcW w:type="dxa" w:w="2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Clinical AI &amp; Machine Learning Team</w:t>
            </w:r>
          </w:p>
        </w:tc>
      </w:tr>
      <w:tr>
        <w:trPr>
          <w:cantSplit/>
        </w:trPr>
        <w:tc>
          <w:tcPr>
            <w:tcW w:type="dxa" w:w="13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AST-002</w:t>
            </w:r>
          </w:p>
        </w:tc>
        <w:tc>
          <w:tcPr>
            <w:tcW w:type="dxa" w:w="24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Financial Risk Training Data Repository</w:t>
            </w:r>
          </w:p>
        </w:tc>
        <w:tc>
          <w:tcPr>
            <w:tcW w:type="dxa" w:w="14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Data Store</w:t>
            </w:r>
          </w:p>
        </w:tc>
        <w:tc>
          <w:tcPr>
            <w:tcW w:type="dxa" w:w="13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High</w:t>
            </w:r>
          </w:p>
        </w:tc>
        <w:tc>
          <w:tcPr>
            <w:tcW w:type="dxa" w:w="13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Production</w:t>
            </w:r>
          </w:p>
        </w:tc>
        <w:tc>
          <w:tcPr>
            <w:tcW w:type="dxa" w:w="22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Data Science Team</w:t>
            </w:r>
          </w:p>
        </w:tc>
      </w:tr>
      <w:tr>
        <w:trPr>
          <w:cantSplit/>
        </w:trPr>
        <w:tc>
          <w:tcPr>
            <w:tcW w:type="dxa" w:w="13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AST-007</w:t>
            </w:r>
          </w:p>
        </w:tc>
        <w:tc>
          <w:tcPr>
            <w:tcW w:type="dxa" w:w="245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AI Network Security Gateway</w:t>
            </w:r>
          </w:p>
        </w:tc>
        <w:tc>
          <w:tcPr>
            <w:tcW w:type="dxa" w:w="145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Network Device</w:t>
            </w:r>
          </w:p>
        </w:tc>
        <w:tc>
          <w:tcPr>
            <w:tcW w:type="dxa" w:w="13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High</w:t>
            </w:r>
          </w:p>
        </w:tc>
        <w:tc>
          <w:tcPr>
            <w:tcW w:type="dxa" w:w="13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Production</w:t>
            </w:r>
          </w:p>
        </w:tc>
        <w:tc>
          <w:tcPr>
            <w:tcW w:type="dxa" w:w="2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Network Security Team</w:t>
            </w:r>
          </w:p>
        </w:tc>
      </w:tr>
    </w:tbl>
    <w:p>
      <w:pPr>
        <w:spacing w:after="120" w:before="60" w:line="276"/>
        <w:jc w:val="left"/>
      </w:pPr>
      <w:r>
        <w:rPr>
          <w:b/>
          <w:bCs/>
          <w:color w:val="222222"/>
          <w:sz w:val="21"/>
          <w:szCs w:val="21"/>
        </w:rPr>
        <w:t xml:space="preserve">Program-level consideration. </w:t>
      </w:r>
      <w:r>
        <w:rPr>
          <w:color w:val="222222"/>
          <w:sz w:val="21"/>
          <w:szCs w:val="21"/>
        </w:rPr>
        <w:t xml:space="preserve">AST-005 (AI Governance Analyst Workstation, Low / Production endpoint) is noted as a program-level log source. It is Low classification and is not required to demonstrate CTL-008 against the higher-risk production systems, so it is kept out of the primary assessment scope.</w:t>
      </w:r>
    </w:p>
    <w:p>
      <w:pPr>
        <w:spacing w:after="120" w:before="40" w:line="276"/>
        <w:jc w:val="left"/>
      </w:pPr>
      <w:r>
        <w:rPr>
          <w:b/>
          <w:bCs/>
          <w:color w:val="222222"/>
          <w:sz w:val="21"/>
          <w:szCs w:val="21"/>
        </w:rPr>
        <w:t xml:space="preserve">Asset-register traceability observation. </w:t>
      </w:r>
      <w:r>
        <w:rPr>
          <w:color w:val="222222"/>
          <w:sz w:val="21"/>
          <w:szCs w:val="21"/>
        </w:rPr>
        <w:t xml:space="preserve">CTL-008 requires centralized security logging, but the current Asset Register does not identify a distinct central logging or SIEM platform. This assessment therefore evaluates the centralized logging capability as a control function operated by the Security Operations Team without assigning an unsupported platform or asset identifier. Consider adding the central logging platform to the Asset Register if it is maintained as a separately managed information asset.</w:t>
      </w:r>
    </w:p>
    <w:p>
      <w:pPr>
        <w:spacing w:after="120" w:before="40" w:line="276"/>
        <w:jc w:val="left"/>
      </w:pPr>
      <w:r>
        <w:rPr>
          <w:b/>
          <w:bCs/>
          <w:color w:val="222222"/>
          <w:sz w:val="21"/>
          <w:szCs w:val="21"/>
        </w:rPr>
        <w:t xml:space="preserve">Out of scope. </w:t>
      </w:r>
      <w:r>
        <w:rPr>
          <w:color w:val="222222"/>
          <w:sz w:val="21"/>
          <w:szCs w:val="21"/>
        </w:rPr>
        <w:t xml:space="preserve">Non-production systems; the access-control operation itself (CTL-002 — User Access Review); and network-filtering configuration (addressed separately).</w:t>
      </w:r>
    </w:p>
    <w:p>
      <w:pPr>
        <w:spacing w:after="120" w:before="40" w:line="276"/>
        <w:jc w:val="left"/>
      </w:pPr>
      <w:r>
        <w:rPr>
          <w:i/>
          <w:iCs/>
          <w:color w:val="7F7F7F"/>
          <w:sz w:val="18"/>
          <w:szCs w:val="18"/>
        </w:rPr>
        <w:t xml:space="preserve">Asset identifiers use the project’s normalized register scheme (AST-001, AST-002, AST-007); asset names, types, classifications, environments, and owners are source/project data.</w:t>
      </w:r>
    </w:p>
    <w:p>
      <w:pPr>
        <w:pStyle w:val="Heading1"/>
        <w:pBdr>
          <w:bottom w:val="single" w:color="B4BED4" w:sz="6" w:space="3"/>
        </w:pBdr>
      </w:pPr>
      <w:r>
        <w:t xml:space="preserve">4. Control Reference &amp; Framework Mapping</w:t>
      </w:r>
    </w:p>
    <w:p>
      <w:pPr>
        <w:spacing w:after="120" w:before="0" w:line="276"/>
        <w:jc w:val="left"/>
      </w:pPr>
      <w:r>
        <w:rPr>
          <w:b/>
          <w:bCs/>
          <w:color w:val="222222"/>
          <w:sz w:val="21"/>
          <w:szCs w:val="21"/>
        </w:rPr>
        <w:t xml:space="preserve">Control as recorded in the MindfulAI Labs Control Register (source/project data):</w:t>
      </w:r>
    </w:p>
    <w:p>
      <w:pPr>
        <w:pStyle w:val="ListParagraph"/>
        <w:numPr>
          <w:ilvl w:val="0"/>
          <w:numId w:val="1"/>
        </w:numPr>
        <w:spacing w:after="60" w:line="276"/>
      </w:pPr>
      <w:r>
        <w:rPr>
          <w:b/>
          <w:bCs/>
          <w:color w:val="222222"/>
          <w:sz w:val="21"/>
          <w:szCs w:val="21"/>
        </w:rPr>
        <w:t xml:space="preserve">Control name: </w:t>
      </w:r>
      <w:r>
        <w:rPr>
          <w:color w:val="222222"/>
          <w:sz w:val="21"/>
          <w:szCs w:val="21"/>
        </w:rPr>
        <w:t xml:space="preserve">Centralize and review security logs for suspicious activity affecting production AI systems</w:t>
      </w:r>
    </w:p>
    <w:p>
      <w:pPr>
        <w:pStyle w:val="ListParagraph"/>
        <w:numPr>
          <w:ilvl w:val="0"/>
          <w:numId w:val="1"/>
        </w:numPr>
        <w:spacing w:after="60" w:line="276"/>
      </w:pPr>
      <w:r>
        <w:rPr>
          <w:b/>
          <w:bCs/>
          <w:color w:val="222222"/>
          <w:sz w:val="21"/>
          <w:szCs w:val="21"/>
        </w:rPr>
        <w:t xml:space="preserve">Framework reference: </w:t>
      </w:r>
      <w:r>
        <w:rPr>
          <w:color w:val="222222"/>
          <w:sz w:val="21"/>
          <w:szCs w:val="21"/>
        </w:rPr>
        <w:t xml:space="preserve">CIS Controls — CIS 8</w:t>
      </w:r>
    </w:p>
    <w:p>
      <w:pPr>
        <w:pStyle w:val="ListParagraph"/>
        <w:numPr>
          <w:ilvl w:val="0"/>
          <w:numId w:val="1"/>
        </w:numPr>
        <w:spacing w:after="60" w:line="276"/>
      </w:pPr>
      <w:r>
        <w:rPr>
          <w:b/>
          <w:bCs/>
          <w:color w:val="222222"/>
          <w:sz w:val="21"/>
          <w:szCs w:val="21"/>
        </w:rPr>
        <w:t xml:space="preserve">Effectiveness rating: </w:t>
      </w:r>
      <w:r>
        <w:rPr>
          <w:color w:val="222222"/>
          <w:sz w:val="21"/>
          <w:szCs w:val="21"/>
        </w:rPr>
        <w:t xml:space="preserve">Partially Effective</w:t>
      </w:r>
    </w:p>
    <w:p>
      <w:pPr>
        <w:pStyle w:val="ListParagraph"/>
        <w:numPr>
          <w:ilvl w:val="0"/>
          <w:numId w:val="1"/>
        </w:numPr>
        <w:spacing w:after="60" w:line="276"/>
      </w:pPr>
      <w:r>
        <w:rPr>
          <w:b/>
          <w:bCs/>
          <w:color w:val="222222"/>
          <w:sz w:val="21"/>
          <w:szCs w:val="21"/>
        </w:rPr>
        <w:t xml:space="preserve">Assessment frequency: </w:t>
      </w:r>
      <w:r>
        <w:rPr>
          <w:color w:val="222222"/>
          <w:sz w:val="21"/>
          <w:szCs w:val="21"/>
        </w:rPr>
        <w:t xml:space="preserve">Continuous</w:t>
      </w:r>
    </w:p>
    <w:p>
      <w:pPr>
        <w:pStyle w:val="ListParagraph"/>
        <w:numPr>
          <w:ilvl w:val="0"/>
          <w:numId w:val="1"/>
        </w:numPr>
        <w:spacing w:after="60" w:line="276"/>
      </w:pPr>
      <w:r>
        <w:rPr>
          <w:b/>
          <w:bCs/>
          <w:color w:val="222222"/>
          <w:sz w:val="21"/>
          <w:szCs w:val="21"/>
        </w:rPr>
        <w:t xml:space="preserve">Control owner: </w:t>
      </w:r>
      <w:r>
        <w:rPr>
          <w:color w:val="222222"/>
          <w:sz w:val="21"/>
          <w:szCs w:val="21"/>
        </w:rPr>
        <w:t xml:space="preserve">Security Operations Team</w:t>
      </w:r>
    </w:p>
    <w:p>
      <w:pPr>
        <w:pStyle w:val="ListParagraph"/>
        <w:numPr>
          <w:ilvl w:val="0"/>
          <w:numId w:val="1"/>
        </w:numPr>
        <w:spacing w:after="60" w:line="276"/>
      </w:pPr>
      <w:r>
        <w:rPr>
          <w:b/>
          <w:bCs/>
          <w:color w:val="222222"/>
          <w:sz w:val="21"/>
          <w:szCs w:val="21"/>
        </w:rPr>
        <w:t xml:space="preserve">Control identifier: </w:t>
      </w:r>
      <w:r>
        <w:rPr>
          <w:color w:val="222222"/>
          <w:sz w:val="21"/>
          <w:szCs w:val="21"/>
        </w:rPr>
        <w:t xml:space="preserve">assigned as CTL-008 under the project’s normalized ID scheme; the source register did not expose an internal identifier. Description, rationale, and detailed framework references remain not exposed in source (null) and were not invented for this document.</w:t>
      </w:r>
    </w:p>
    <w:p>
      <w:pPr>
        <w:spacing w:after="120" w:before="0" w:line="276"/>
        <w:jc w:val="left"/>
      </w:pPr>
      <w:r>
        <w:rPr>
          <w:b/>
          <w:bCs/>
          <w:color w:val="222222"/>
          <w:sz w:val="21"/>
          <w:szCs w:val="21"/>
        </w:rPr>
        <w:t xml:space="preserve">Supplemental framework mapping (portfolio-developed). </w:t>
      </w:r>
      <w:r>
        <w:rPr>
          <w:color w:val="222222"/>
          <w:sz w:val="21"/>
          <w:szCs w:val="21"/>
        </w:rPr>
        <w:t xml:space="preserve">The source register maps this control to CIS Controls, Control 8. To show how the control’s requirements align to the specific CIS v8 safeguards and a cross-framework reference, the following mapping was developed for portfolio purposes; only “CIS 8” is contained in the source register.</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750"/>
        <w:gridCol w:w="4630"/>
        <w:gridCol w:w="1500"/>
        <w:gridCol w:w="2200"/>
      </w:tblGrid>
      <w:tr>
        <w:trPr>
          <w:cantSplit/>
          <w:tblHeader/>
        </w:trPr>
        <w:tc>
          <w:tcPr>
            <w:tcW w:type="dxa" w:w="175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Reference</w:t>
            </w:r>
          </w:p>
        </w:tc>
        <w:tc>
          <w:tcPr>
            <w:tcW w:type="dxa" w:w="463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Safeguard / Subcategory (abbreviated)</w:t>
            </w:r>
          </w:p>
        </w:tc>
        <w:tc>
          <w:tcPr>
            <w:tcW w:type="dxa" w:w="15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Origin</w:t>
            </w:r>
          </w:p>
        </w:tc>
        <w:tc>
          <w:tcPr>
            <w:tcW w:type="dxa" w:w="22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Addressed in</w:t>
            </w:r>
          </w:p>
        </w:tc>
      </w:tr>
      <w:tr>
        <w:trPr>
          <w:cantSplit/>
        </w:trPr>
        <w:tc>
          <w:tcPr>
            <w:tcW w:type="dxa" w:w="175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CIS 8</w:t>
            </w:r>
          </w:p>
        </w:tc>
        <w:tc>
          <w:tcPr>
            <w:tcW w:type="dxa" w:w="463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Audit Log Management (control family)</w:t>
            </w:r>
          </w:p>
        </w:tc>
        <w:tc>
          <w:tcPr>
            <w:tcW w:type="dxa" w:w="15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Source</w:t>
            </w:r>
          </w:p>
        </w:tc>
        <w:tc>
          <w:tcPr>
            <w:tcW w:type="dxa" w:w="2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§8</w:t>
            </w:r>
          </w:p>
        </w:tc>
      </w:tr>
      <w:tr>
        <w:trPr>
          <w:cantSplit/>
        </w:trPr>
        <w:tc>
          <w:tcPr>
            <w:tcW w:type="dxa" w:w="17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CIS 8.1</w:t>
            </w:r>
          </w:p>
        </w:tc>
        <w:tc>
          <w:tcPr>
            <w:tcW w:type="dxa" w:w="463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Establish &amp; maintain an audit log management process</w:t>
            </w:r>
          </w:p>
        </w:tc>
        <w:tc>
          <w:tcPr>
            <w:tcW w:type="dxa" w:w="15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Supplemental</w:t>
            </w:r>
          </w:p>
        </w:tc>
        <w:tc>
          <w:tcPr>
            <w:tcW w:type="dxa" w:w="22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§8</w:t>
            </w:r>
          </w:p>
        </w:tc>
      </w:tr>
      <w:tr>
        <w:trPr>
          <w:cantSplit/>
        </w:trPr>
        <w:tc>
          <w:tcPr>
            <w:tcW w:type="dxa" w:w="175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CIS 8.2</w:t>
            </w:r>
          </w:p>
        </w:tc>
        <w:tc>
          <w:tcPr>
            <w:tcW w:type="dxa" w:w="463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Collect audit logs</w:t>
            </w:r>
          </w:p>
        </w:tc>
        <w:tc>
          <w:tcPr>
            <w:tcW w:type="dxa" w:w="15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Supplemental</w:t>
            </w:r>
          </w:p>
        </w:tc>
        <w:tc>
          <w:tcPr>
            <w:tcW w:type="dxa" w:w="2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§8 (LOG-01)</w:t>
            </w:r>
          </w:p>
        </w:tc>
      </w:tr>
      <w:tr>
        <w:trPr>
          <w:cantSplit/>
        </w:trPr>
        <w:tc>
          <w:tcPr>
            <w:tcW w:type="dxa" w:w="17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CIS 8.9</w:t>
            </w:r>
          </w:p>
        </w:tc>
        <w:tc>
          <w:tcPr>
            <w:tcW w:type="dxa" w:w="463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Centralize audit logs</w:t>
            </w:r>
          </w:p>
        </w:tc>
        <w:tc>
          <w:tcPr>
            <w:tcW w:type="dxa" w:w="15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Supplemental</w:t>
            </w:r>
          </w:p>
        </w:tc>
        <w:tc>
          <w:tcPr>
            <w:tcW w:type="dxa" w:w="22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§8</w:t>
            </w:r>
          </w:p>
        </w:tc>
      </w:tr>
      <w:tr>
        <w:trPr>
          <w:cantSplit/>
        </w:trPr>
        <w:tc>
          <w:tcPr>
            <w:tcW w:type="dxa" w:w="175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CIS 8.10</w:t>
            </w:r>
          </w:p>
        </w:tc>
        <w:tc>
          <w:tcPr>
            <w:tcW w:type="dxa" w:w="463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Retain audit logs</w:t>
            </w:r>
          </w:p>
        </w:tc>
        <w:tc>
          <w:tcPr>
            <w:tcW w:type="dxa" w:w="15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Supplemental</w:t>
            </w:r>
          </w:p>
        </w:tc>
        <w:tc>
          <w:tcPr>
            <w:tcW w:type="dxa" w:w="2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§8</w:t>
            </w:r>
          </w:p>
        </w:tc>
      </w:tr>
      <w:tr>
        <w:trPr>
          <w:cantSplit/>
        </w:trPr>
        <w:tc>
          <w:tcPr>
            <w:tcW w:type="dxa" w:w="17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CIS 8.11</w:t>
            </w:r>
          </w:p>
        </w:tc>
        <w:tc>
          <w:tcPr>
            <w:tcW w:type="dxa" w:w="463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Conduct audit log reviews</w:t>
            </w:r>
          </w:p>
        </w:tc>
        <w:tc>
          <w:tcPr>
            <w:tcW w:type="dxa" w:w="15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Supplemental</w:t>
            </w:r>
          </w:p>
        </w:tc>
        <w:tc>
          <w:tcPr>
            <w:tcW w:type="dxa" w:w="22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§8 (LOG-02)</w:t>
            </w:r>
          </w:p>
        </w:tc>
      </w:tr>
      <w:tr>
        <w:trPr>
          <w:cantSplit/>
        </w:trPr>
        <w:tc>
          <w:tcPr>
            <w:tcW w:type="dxa" w:w="175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NIST CSF DE.AE-03</w:t>
            </w:r>
          </w:p>
        </w:tc>
        <w:tc>
          <w:tcPr>
            <w:tcW w:type="dxa" w:w="463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Information is correlated from multiple sources</w:t>
            </w:r>
          </w:p>
        </w:tc>
        <w:tc>
          <w:tcPr>
            <w:tcW w:type="dxa" w:w="15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Supplemental</w:t>
            </w:r>
          </w:p>
        </w:tc>
        <w:tc>
          <w:tcPr>
            <w:tcW w:type="dxa" w:w="2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§6, §8</w:t>
            </w:r>
          </w:p>
        </w:tc>
      </w:tr>
    </w:tbl>
    <w:p>
      <w:pPr>
        <w:pStyle w:val="Heading1"/>
        <w:pBdr>
          <w:bottom w:val="single" w:color="B4BED4" w:sz="6" w:space="3"/>
        </w:pBdr>
      </w:pPr>
      <w:r>
        <w:t xml:space="preserve">5. Linked Register Risk &amp; Coverage Gap</w:t>
      </w:r>
    </w:p>
    <w:p>
      <w:pPr>
        <w:spacing w:after="120" w:before="0" w:line="276"/>
        <w:jc w:val="left"/>
      </w:pPr>
      <w:r>
        <w:rPr>
          <w:b/>
          <w:bCs/>
          <w:color w:val="222222"/>
          <w:sz w:val="21"/>
          <w:szCs w:val="21"/>
        </w:rPr>
        <w:t xml:space="preserve">Primary register risk (nearest — with mapping limitation). </w:t>
      </w:r>
      <w:r>
        <w:rPr>
          <w:color w:val="222222"/>
          <w:sz w:val="21"/>
          <w:szCs w:val="21"/>
        </w:rPr>
        <w:t xml:space="preserve">This control is a cross-cutting detective control. Its nearest existing register risk tied to an in-scope asset is </w:t>
      </w:r>
      <w:r>
        <w:rPr>
          <w:b/>
          <w:bCs/>
          <w:color w:val="222222"/>
          <w:sz w:val="21"/>
          <w:szCs w:val="21"/>
        </w:rPr>
        <w:t xml:space="preserve">RSK-006</w:t>
      </w:r>
      <w:r>
        <w:rPr>
          <w:color w:val="222222"/>
          <w:sz w:val="21"/>
          <w:szCs w:val="21"/>
        </w:rPr>
        <w:t xml:space="preserve"> — “External attacker exploits weak network filtering causing unauthorized AI infrastructure access through AI Network Security Gateway” (Access Control; Likelihood 2 / Impact 5; In Progress; Network Security Team). </w:t>
      </w:r>
      <w:r>
        <w:rPr>
          <w:b/>
          <w:bCs/>
          <w:color w:val="222222"/>
          <w:sz w:val="21"/>
          <w:szCs w:val="21"/>
        </w:rPr>
        <w:t xml:space="preserve">Limitation: </w:t>
      </w:r>
      <w:r>
        <w:rPr>
          <w:color w:val="222222"/>
          <w:sz w:val="21"/>
          <w:szCs w:val="21"/>
        </w:rPr>
        <w:t xml:space="preserve">this is a network-access risk; centralized log review is the detective control that would help surface such an attack, but the risk itself concerns network filtering, not monitoring adequacy.</w:t>
      </w:r>
    </w:p>
    <w:p>
      <w:pPr>
        <w:spacing w:after="120" w:before="0" w:line="276"/>
        <w:jc w:val="left"/>
      </w:pPr>
      <w:r>
        <w:rPr>
          <w:b/>
          <w:bCs/>
          <w:color w:val="222222"/>
          <w:sz w:val="21"/>
          <w:szCs w:val="21"/>
        </w:rPr>
        <w:t xml:space="preserve">Related detection scenarios (not primary mappings). </w:t>
      </w:r>
      <w:r>
        <w:rPr>
          <w:color w:val="222222"/>
          <w:sz w:val="21"/>
          <w:szCs w:val="21"/>
        </w:rPr>
        <w:t xml:space="preserve">Centralized log review would also help detect activities underlying RSK-002 (unauthorized access to the Financial Risk Training Data Repository) and RSK-003 (unauthorized model changes on the AI Model Training Server). These are noted as detection scenarios, not additional one-to-one mappings.</w:t>
      </w:r>
    </w:p>
    <w:p>
      <w:pPr>
        <w:spacing w:after="120" w:before="0" w:line="276"/>
        <w:jc w:val="left"/>
      </w:pPr>
      <w:r>
        <w:rPr>
          <w:b/>
          <w:bCs/>
          <w:color w:val="222222"/>
          <w:sz w:val="21"/>
          <w:szCs w:val="21"/>
        </w:rPr>
        <w:t xml:space="preserve">Risk-register coverage gap (observation). </w:t>
      </w:r>
      <w:r>
        <w:rPr>
          <w:color w:val="222222"/>
          <w:sz w:val="21"/>
          <w:szCs w:val="21"/>
        </w:rPr>
        <w:t xml:space="preserve">No current Risk Register entry specifically represents the risk that suspicious or malicious activity affecting production AI systems remains undetected because security logs are incomplete, not centralized, or inadequately reviewed. Recommendation: add such a risk (owner Security Operations Team) and link CTL-008 to it. This item is carried to the consolidated GRC Findings &amp; Remediation Tracker, consistent with the coverage gaps documented for CTL-005 (MAL-VMA-005) and CTL-006 (MAL-PIA-006).</w:t>
      </w:r>
    </w:p>
    <w:p>
      <w:pPr>
        <w:spacing w:after="120" w:before="40" w:line="276"/>
        <w:jc w:val="left"/>
      </w:pPr>
      <w:r>
        <w:rPr>
          <w:i/>
          <w:iCs/>
          <w:color w:val="7F7F7F"/>
          <w:sz w:val="18"/>
          <w:szCs w:val="18"/>
        </w:rPr>
        <w:t xml:space="preserve">Risk identifier RSK-006 uses the project’s normalized register scheme; its source identifier was not exposed (null). RSK-002 and RSK-003 carry source identifiers. Likelihood / impact / status / owner values are source/project data and are not modified by this assessment.</w:t>
      </w:r>
    </w:p>
    <w:p>
      <w:pPr>
        <w:pStyle w:val="Heading1"/>
        <w:pBdr>
          <w:bottom w:val="single" w:color="B4BED4" w:sz="6" w:space="3"/>
        </w:pBdr>
      </w:pPr>
      <w:r>
        <w:t xml:space="preserve">6. Methodology (Simulated Assessment Procedure)</w:t>
      </w:r>
    </w:p>
    <w:p>
      <w:pPr>
        <w:spacing w:after="120" w:before="0" w:line="276"/>
        <w:jc w:val="left"/>
      </w:pPr>
      <w:r>
        <w:rPr>
          <w:color w:val="222222"/>
          <w:sz w:val="21"/>
          <w:szCs w:val="21"/>
        </w:rPr>
        <w:t xml:space="preserve">The following procedure describes how the centralized logging and review control would be assessed. Steps marked “evidence required” depend on artifacts that would be collected in a live engagement (see Section 14).</w:t>
      </w:r>
    </w:p>
    <w:p>
      <w:pPr>
        <w:spacing w:after="60" w:line="276"/>
        <w:ind w:left="360" w:hanging="360"/>
      </w:pPr>
      <w:r>
        <w:rPr>
          <w:b/>
          <w:bCs/>
          <w:color w:val="222222"/>
          <w:sz w:val="21"/>
          <w:szCs w:val="21"/>
        </w:rPr>
        <w:t xml:space="preserve">1.  </w:t>
      </w:r>
      <w:r>
        <w:rPr>
          <w:color w:val="222222"/>
          <w:sz w:val="21"/>
          <w:szCs w:val="21"/>
        </w:rPr>
        <w:t xml:space="preserve">Confirm the in-scope production AI systems and their security-log sources, and reconcile them to the central logging capability. (Evidence required: log-source inventory / central-log configuration.)</w:t>
      </w:r>
    </w:p>
    <w:p>
      <w:pPr>
        <w:spacing w:after="60" w:line="276"/>
        <w:ind w:left="360" w:hanging="360"/>
      </w:pPr>
      <w:r>
        <w:rPr>
          <w:b/>
          <w:bCs/>
          <w:color w:val="222222"/>
          <w:sz w:val="21"/>
          <w:szCs w:val="21"/>
        </w:rPr>
        <w:t xml:space="preserve">2.  </w:t>
      </w:r>
      <w:r>
        <w:rPr>
          <w:color w:val="222222"/>
          <w:sz w:val="21"/>
          <w:szCs w:val="21"/>
        </w:rPr>
        <w:t xml:space="preserve">Confirm that security logs from in-scope systems are collected and forwarded to central logging. (Evidence required.)</w:t>
      </w:r>
    </w:p>
    <w:p>
      <w:pPr>
        <w:spacing w:after="60" w:line="276"/>
        <w:ind w:left="360" w:hanging="360"/>
      </w:pPr>
      <w:r>
        <w:rPr>
          <w:b/>
          <w:bCs/>
          <w:color w:val="222222"/>
          <w:sz w:val="21"/>
          <w:szCs w:val="21"/>
        </w:rPr>
        <w:t xml:space="preserve">3.  </w:t>
      </w:r>
      <w:r>
        <w:rPr>
          <w:color w:val="222222"/>
          <w:sz w:val="21"/>
          <w:szCs w:val="21"/>
        </w:rPr>
        <w:t xml:space="preserve">Confirm logs are centralized/aggregated and retained per a defined retention period. (Evidence required.)</w:t>
      </w:r>
    </w:p>
    <w:p>
      <w:pPr>
        <w:spacing w:after="60" w:line="276"/>
        <w:ind w:left="360" w:hanging="360"/>
      </w:pPr>
      <w:r>
        <w:rPr>
          <w:b/>
          <w:bCs/>
          <w:color w:val="222222"/>
          <w:sz w:val="21"/>
          <w:szCs w:val="21"/>
        </w:rPr>
        <w:t xml:space="preserve">4.  </w:t>
      </w:r>
      <w:r>
        <w:rPr>
          <w:color w:val="222222"/>
          <w:sz w:val="21"/>
          <w:szCs w:val="21"/>
        </w:rPr>
        <w:t xml:space="preserve">Review detection/alerting configuration and confirm continuous review and alert triage within a defined timeframe. (Evidence required: alert / review records.)</w:t>
      </w:r>
    </w:p>
    <w:p>
      <w:pPr>
        <w:spacing w:after="60" w:line="276"/>
        <w:ind w:left="360" w:hanging="360"/>
      </w:pPr>
      <w:r>
        <w:rPr>
          <w:b/>
          <w:bCs/>
          <w:color w:val="222222"/>
          <w:sz w:val="21"/>
          <w:szCs w:val="21"/>
        </w:rPr>
        <w:t xml:space="preserve">5.  </w:t>
      </w:r>
      <w:r>
        <w:rPr>
          <w:color w:val="222222"/>
          <w:sz w:val="21"/>
          <w:szCs w:val="21"/>
        </w:rPr>
        <w:t xml:space="preserve">Assess whether monitoring includes AI-specific detection use-cases for production AI systems.</w:t>
      </w:r>
    </w:p>
    <w:p>
      <w:pPr>
        <w:spacing w:after="60" w:line="276"/>
        <w:ind w:left="360" w:hanging="360"/>
      </w:pPr>
      <w:r>
        <w:rPr>
          <w:b/>
          <w:bCs/>
          <w:color w:val="222222"/>
          <w:sz w:val="21"/>
          <w:szCs w:val="21"/>
        </w:rPr>
        <w:t xml:space="preserve">6.  </w:t>
      </w:r>
      <w:r>
        <w:rPr>
          <w:color w:val="222222"/>
          <w:sz w:val="21"/>
          <w:szCs w:val="21"/>
        </w:rPr>
        <w:t xml:space="preserve">Disposition each identified deficiency with an owner, action, status, and target date.</w:t>
      </w:r>
    </w:p>
    <w:p>
      <w:pPr>
        <w:spacing w:after="60" w:line="276"/>
        <w:ind w:left="360" w:hanging="360"/>
      </w:pPr>
      <w:r>
        <w:rPr>
          <w:b/>
          <w:bCs/>
          <w:color w:val="222222"/>
          <w:sz w:val="21"/>
          <w:szCs w:val="21"/>
        </w:rPr>
        <w:t xml:space="preserve">7.  </w:t>
      </w:r>
      <w:r>
        <w:rPr>
          <w:color w:val="222222"/>
          <w:sz w:val="21"/>
          <w:szCs w:val="21"/>
        </w:rPr>
        <w:t xml:space="preserve">Determine the operating effectiveness of the control for the assessment period.</w:t>
      </w:r>
    </w:p>
    <w:p>
      <w:pPr>
        <w:pStyle w:val="Heading1"/>
        <w:pBdr>
          <w:bottom w:val="single" w:color="B4BED4" w:sz="6" w:space="3"/>
        </w:pBdr>
      </w:pPr>
      <w:r>
        <w:t xml:space="preserve">7. Roles &amp; Responsibilities</w:t>
      </w:r>
    </w:p>
    <w:p>
      <w:pPr>
        <w:spacing w:after="120" w:before="0" w:line="276"/>
        <w:jc w:val="left"/>
      </w:pPr>
      <w:r>
        <w:rPr>
          <w:color w:val="222222"/>
          <w:sz w:val="21"/>
          <w:szCs w:val="21"/>
        </w:rPr>
        <w:t xml:space="preserve">The following RACI is portfolio-developed and reflects the simulated governance structure for this control. Team names are drawn from the source register.</w:t>
      </w:r>
    </w:p>
    <w:p>
      <w:pPr>
        <w:spacing w:after="80" w:before="0" w:line="276"/>
        <w:jc w:val="left"/>
      </w:pPr>
      <w:r>
        <w:rPr>
          <w:b/>
          <w:bCs/>
          <w:color w:val="222222"/>
          <w:sz w:val="21"/>
          <w:szCs w:val="21"/>
        </w:rPr>
        <w:t xml:space="preserve">Legend: </w:t>
      </w:r>
      <w:r>
        <w:rPr>
          <w:color w:val="222222"/>
          <w:sz w:val="18"/>
          <w:szCs w:val="18"/>
        </w:rPr>
        <w:t xml:space="preserve">R = Responsible  •  A = Accountable  •  C = Consulted  •  I = Informed</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780"/>
        <w:gridCol w:w="1650"/>
        <w:gridCol w:w="1500"/>
        <w:gridCol w:w="1650"/>
        <w:gridCol w:w="1500"/>
      </w:tblGrid>
      <w:tr>
        <w:trPr>
          <w:cantSplit/>
          <w:tblHeader/>
        </w:trPr>
        <w:tc>
          <w:tcPr>
            <w:tcW w:type="dxa" w:w="378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Activity</w:t>
            </w:r>
          </w:p>
        </w:tc>
        <w:tc>
          <w:tcPr>
            <w:tcW w:type="dxa" w:w="1650"/>
            <w:shd w:fill="1F3864" w:color="auto" w:val="clear"/>
            <w:tcMar>
              <w:top w:type="dxa" w:w="50"/>
              <w:left w:type="dxa" w:w="90"/>
              <w:bottom w:type="dxa" w:w="50"/>
              <w:right w:type="dxa" w:w="90"/>
            </w:tcMar>
            <w:vAlign w:val="center"/>
          </w:tcPr>
          <w:p>
            <w:pPr>
              <w:spacing w:after="0"/>
              <w:jc w:val="center"/>
            </w:pPr>
            <w:r>
              <w:rPr>
                <w:b/>
                <w:bCs/>
                <w:color w:val="FFFFFF"/>
                <w:sz w:val="16"/>
                <w:szCs w:val="16"/>
              </w:rPr>
              <w:t xml:space="preserve">Security Operations</w:t>
            </w:r>
          </w:p>
        </w:tc>
        <w:tc>
          <w:tcPr>
            <w:tcW w:type="dxa" w:w="1500"/>
            <w:shd w:fill="1F3864" w:color="auto" w:val="clear"/>
            <w:tcMar>
              <w:top w:type="dxa" w:w="50"/>
              <w:left w:type="dxa" w:w="90"/>
              <w:bottom w:type="dxa" w:w="50"/>
              <w:right w:type="dxa" w:w="90"/>
            </w:tcMar>
            <w:vAlign w:val="center"/>
          </w:tcPr>
          <w:p>
            <w:pPr>
              <w:spacing w:after="0"/>
              <w:jc w:val="center"/>
            </w:pPr>
            <w:r>
              <w:rPr>
                <w:b/>
                <w:bCs/>
                <w:color w:val="FFFFFF"/>
                <w:sz w:val="16"/>
                <w:szCs w:val="16"/>
              </w:rPr>
              <w:t xml:space="preserve">Log-Source Owners</w:t>
            </w:r>
          </w:p>
        </w:tc>
        <w:tc>
          <w:tcPr>
            <w:tcW w:type="dxa" w:w="1650"/>
            <w:shd w:fill="1F3864" w:color="auto" w:val="clear"/>
            <w:tcMar>
              <w:top w:type="dxa" w:w="50"/>
              <w:left w:type="dxa" w:w="90"/>
              <w:bottom w:type="dxa" w:w="50"/>
              <w:right w:type="dxa" w:w="90"/>
            </w:tcMar>
            <w:vAlign w:val="center"/>
          </w:tcPr>
          <w:p>
            <w:pPr>
              <w:spacing w:after="0"/>
              <w:jc w:val="center"/>
            </w:pPr>
            <w:r>
              <w:rPr>
                <w:b/>
                <w:bCs/>
                <w:color w:val="FFFFFF"/>
                <w:sz w:val="16"/>
                <w:szCs w:val="16"/>
              </w:rPr>
              <w:t xml:space="preserve">IT / Platform Ops</w:t>
            </w:r>
          </w:p>
        </w:tc>
        <w:tc>
          <w:tcPr>
            <w:tcW w:type="dxa" w:w="1500"/>
            <w:shd w:fill="1F3864" w:color="auto" w:val="clear"/>
            <w:tcMar>
              <w:top w:type="dxa" w:w="50"/>
              <w:left w:type="dxa" w:w="90"/>
              <w:bottom w:type="dxa" w:w="50"/>
              <w:right w:type="dxa" w:w="90"/>
            </w:tcMar>
            <w:vAlign w:val="center"/>
          </w:tcPr>
          <w:p>
            <w:pPr>
              <w:spacing w:after="0"/>
              <w:jc w:val="center"/>
            </w:pPr>
            <w:r>
              <w:rPr>
                <w:b/>
                <w:bCs/>
                <w:color w:val="FFFFFF"/>
                <w:sz w:val="16"/>
                <w:szCs w:val="16"/>
              </w:rPr>
              <w:t xml:space="preserve">GRC Team</w:t>
            </w:r>
          </w:p>
        </w:tc>
      </w:tr>
      <w:tr>
        <w:trPr>
          <w:cantSplit/>
        </w:trPr>
        <w:tc>
          <w:tcPr>
            <w:tcW w:type="dxa" w:w="37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Define &amp; maintain the audit-log management &amp; monitoring process</w:t>
            </w:r>
          </w:p>
        </w:tc>
        <w:tc>
          <w:tcPr>
            <w:tcW w:type="dxa" w:w="1650"/>
            <w:tcMar>
              <w:top w:type="dxa" w:w="50"/>
              <w:left w:type="dxa" w:w="90"/>
              <w:bottom w:type="dxa" w:w="50"/>
              <w:right w:type="dxa" w:w="90"/>
            </w:tcMar>
            <w:vAlign w:val="top"/>
          </w:tcPr>
          <w:p>
            <w:pPr>
              <w:spacing w:after="0" w:line="264"/>
              <w:jc w:val="center"/>
            </w:pPr>
            <w:r>
              <w:rPr>
                <w:b/>
                <w:bCs/>
                <w:i w:val="false"/>
                <w:iCs w:val="false"/>
                <w:color w:val="222222"/>
                <w:sz w:val="16"/>
                <w:szCs w:val="16"/>
              </w:rPr>
              <w:t xml:space="preserve">A, R</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165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r>
      <w:tr>
        <w:trPr>
          <w:cantSplit/>
        </w:trPr>
        <w:tc>
          <w:tcPr>
            <w:tcW w:type="dxa" w:w="37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Configure &amp; maintain log forwarding from in-scope systems</w:t>
            </w:r>
          </w:p>
        </w:tc>
        <w:tc>
          <w:tcPr>
            <w:tcW w:type="dxa" w:w="1650"/>
            <w:shd w:fill="F2F5FA" w:color="auto" w:val="clear"/>
            <w:tcMar>
              <w:top w:type="dxa" w:w="50"/>
              <w:left w:type="dxa" w:w="90"/>
              <w:bottom w:type="dxa" w:w="50"/>
              <w:right w:type="dxa" w:w="90"/>
            </w:tcMar>
            <w:vAlign w:val="top"/>
          </w:tcPr>
          <w:p>
            <w:pPr>
              <w:spacing w:after="0" w:line="264"/>
              <w:jc w:val="center"/>
            </w:pPr>
            <w:r>
              <w:rPr>
                <w:b/>
                <w:bCs/>
                <w:i w:val="false"/>
                <w:iCs w:val="false"/>
                <w:color w:val="222222"/>
                <w:sz w:val="16"/>
                <w:szCs w:val="16"/>
              </w:rPr>
              <w:t xml:space="preserve">A, R</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R</w:t>
            </w:r>
          </w:p>
        </w:tc>
        <w:tc>
          <w:tcPr>
            <w:tcW w:type="dxa" w:w="165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R</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I</w:t>
            </w:r>
          </w:p>
        </w:tc>
      </w:tr>
      <w:tr>
        <w:trPr>
          <w:cantSplit/>
        </w:trPr>
        <w:tc>
          <w:tcPr>
            <w:tcW w:type="dxa" w:w="37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Centralize / aggregate logs to the central logging capability</w:t>
            </w:r>
          </w:p>
        </w:tc>
        <w:tc>
          <w:tcPr>
            <w:tcW w:type="dxa" w:w="1650"/>
            <w:tcMar>
              <w:top w:type="dxa" w:w="50"/>
              <w:left w:type="dxa" w:w="90"/>
              <w:bottom w:type="dxa" w:w="50"/>
              <w:right w:type="dxa" w:w="90"/>
            </w:tcMar>
            <w:vAlign w:val="top"/>
          </w:tcPr>
          <w:p>
            <w:pPr>
              <w:spacing w:after="0" w:line="264"/>
              <w:jc w:val="center"/>
            </w:pPr>
            <w:r>
              <w:rPr>
                <w:b/>
                <w:bCs/>
                <w:i w:val="false"/>
                <w:iCs w:val="false"/>
                <w:color w:val="222222"/>
                <w:sz w:val="16"/>
                <w:szCs w:val="16"/>
              </w:rPr>
              <w:t xml:space="preserve">A, R</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I</w:t>
            </w:r>
          </w:p>
        </w:tc>
        <w:tc>
          <w:tcPr>
            <w:tcW w:type="dxa" w:w="165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I</w:t>
            </w:r>
          </w:p>
        </w:tc>
      </w:tr>
      <w:tr>
        <w:trPr>
          <w:cantSplit/>
        </w:trPr>
        <w:tc>
          <w:tcPr>
            <w:tcW w:type="dxa" w:w="37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Perform continuous log review &amp; alert triage</w:t>
            </w:r>
          </w:p>
        </w:tc>
        <w:tc>
          <w:tcPr>
            <w:tcW w:type="dxa" w:w="1650"/>
            <w:shd w:fill="F2F5FA" w:color="auto" w:val="clear"/>
            <w:tcMar>
              <w:top w:type="dxa" w:w="50"/>
              <w:left w:type="dxa" w:w="90"/>
              <w:bottom w:type="dxa" w:w="50"/>
              <w:right w:type="dxa" w:w="90"/>
            </w:tcMar>
            <w:vAlign w:val="top"/>
          </w:tcPr>
          <w:p>
            <w:pPr>
              <w:spacing w:after="0" w:line="264"/>
              <w:jc w:val="center"/>
            </w:pPr>
            <w:r>
              <w:rPr>
                <w:b/>
                <w:bCs/>
                <w:i w:val="false"/>
                <w:iCs w:val="false"/>
                <w:color w:val="222222"/>
                <w:sz w:val="16"/>
                <w:szCs w:val="16"/>
              </w:rPr>
              <w:t xml:space="preserve">A, R</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I</w:t>
            </w:r>
          </w:p>
        </w:tc>
        <w:tc>
          <w:tcPr>
            <w:tcW w:type="dxa" w:w="165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I</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r>
      <w:tr>
        <w:trPr>
          <w:cantSplit/>
        </w:trPr>
        <w:tc>
          <w:tcPr>
            <w:tcW w:type="dxa" w:w="37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Define &amp; enforce log retention</w:t>
            </w:r>
          </w:p>
        </w:tc>
        <w:tc>
          <w:tcPr>
            <w:tcW w:type="dxa" w:w="1650"/>
            <w:tcMar>
              <w:top w:type="dxa" w:w="50"/>
              <w:left w:type="dxa" w:w="90"/>
              <w:bottom w:type="dxa" w:w="50"/>
              <w:right w:type="dxa" w:w="90"/>
            </w:tcMar>
            <w:vAlign w:val="top"/>
          </w:tcPr>
          <w:p>
            <w:pPr>
              <w:spacing w:after="0" w:line="264"/>
              <w:jc w:val="center"/>
            </w:pPr>
            <w:r>
              <w:rPr>
                <w:b/>
                <w:bCs/>
                <w:i w:val="false"/>
                <w:iCs w:val="false"/>
                <w:color w:val="222222"/>
                <w:sz w:val="16"/>
                <w:szCs w:val="16"/>
              </w:rPr>
              <w:t xml:space="preserve">A, R</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165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R</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I</w:t>
            </w:r>
          </w:p>
        </w:tc>
      </w:tr>
      <w:tr>
        <w:trPr>
          <w:cantSplit/>
        </w:trPr>
        <w:tc>
          <w:tcPr>
            <w:tcW w:type="dxa" w:w="37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Define AI-specific detection use-cases</w:t>
            </w:r>
          </w:p>
        </w:tc>
        <w:tc>
          <w:tcPr>
            <w:tcW w:type="dxa" w:w="1650"/>
            <w:shd w:fill="F2F5FA" w:color="auto" w:val="clear"/>
            <w:tcMar>
              <w:top w:type="dxa" w:w="50"/>
              <w:left w:type="dxa" w:w="90"/>
              <w:bottom w:type="dxa" w:w="50"/>
              <w:right w:type="dxa" w:w="90"/>
            </w:tcMar>
            <w:vAlign w:val="top"/>
          </w:tcPr>
          <w:p>
            <w:pPr>
              <w:spacing w:after="0" w:line="264"/>
              <w:jc w:val="center"/>
            </w:pPr>
            <w:r>
              <w:rPr>
                <w:b/>
                <w:bCs/>
                <w:i w:val="false"/>
                <w:iCs w:val="false"/>
                <w:color w:val="222222"/>
                <w:sz w:val="16"/>
                <w:szCs w:val="16"/>
              </w:rPr>
              <w:t xml:space="preserve">A, R</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165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150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r>
      <w:tr>
        <w:trPr>
          <w:cantSplit/>
        </w:trPr>
        <w:tc>
          <w:tcPr>
            <w:tcW w:type="dxa" w:w="37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Independent assessment &amp; effectiveness reporting</w:t>
            </w:r>
          </w:p>
        </w:tc>
        <w:tc>
          <w:tcPr>
            <w:tcW w:type="dxa" w:w="165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C</w:t>
            </w:r>
          </w:p>
        </w:tc>
        <w:tc>
          <w:tcPr>
            <w:tcW w:type="dxa" w:w="150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I</w:t>
            </w:r>
          </w:p>
        </w:tc>
        <w:tc>
          <w:tcPr>
            <w:tcW w:type="dxa" w:w="165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I</w:t>
            </w:r>
          </w:p>
        </w:tc>
        <w:tc>
          <w:tcPr>
            <w:tcW w:type="dxa" w:w="1500"/>
            <w:tcMar>
              <w:top w:type="dxa" w:w="50"/>
              <w:left w:type="dxa" w:w="90"/>
              <w:bottom w:type="dxa" w:w="50"/>
              <w:right w:type="dxa" w:w="90"/>
            </w:tcMar>
            <w:vAlign w:val="top"/>
          </w:tcPr>
          <w:p>
            <w:pPr>
              <w:spacing w:after="0" w:line="264"/>
              <w:jc w:val="center"/>
            </w:pPr>
            <w:r>
              <w:rPr>
                <w:b/>
                <w:bCs/>
                <w:i w:val="false"/>
                <w:iCs w:val="false"/>
                <w:color w:val="222222"/>
                <w:sz w:val="16"/>
                <w:szCs w:val="16"/>
              </w:rPr>
              <w:t xml:space="preserve">A, R</w:t>
            </w:r>
          </w:p>
        </w:tc>
      </w:tr>
    </w:tbl>
    <w:p>
      <w:pPr>
        <w:spacing w:after="120" w:before="60" w:line="276"/>
        <w:jc w:val="left"/>
      </w:pPr>
      <w:r>
        <w:rPr>
          <w:i/>
          <w:iCs/>
          <w:color w:val="7F7F7F"/>
          <w:sz w:val="18"/>
          <w:szCs w:val="18"/>
        </w:rPr>
        <w:t xml:space="preserve">Log-Source Owners = Clinical AI &amp; Machine Learning Team (AST-001), Data Science Team (AST-002), Network Security Team (AST-007); IT / Platform Ops = Infrastructure Operations Team. Roles are illustrative for the simulated scenario.</w:t>
      </w:r>
    </w:p>
    <w:p>
      <w:pPr>
        <w:pStyle w:val="Heading1"/>
        <w:pBdr>
          <w:bottom w:val="single" w:color="B4BED4" w:sz="6" w:space="3"/>
        </w:pBdr>
      </w:pPr>
      <w:r>
        <w:t xml:space="preserve">8. Control Attributes &amp; Simulated Assessment Results</w:t>
      </w:r>
    </w:p>
    <w:p>
      <w:pPr>
        <w:spacing w:after="120" w:before="0" w:line="276"/>
        <w:jc w:val="left"/>
      </w:pPr>
      <w:r>
        <w:rPr>
          <w:color w:val="222222"/>
          <w:sz w:val="21"/>
          <w:szCs w:val="21"/>
        </w:rPr>
        <w:t xml:space="preserve">The control was assessed against the attributes below. Results are qualitative and reflect the assessment scenario; they do not reflect an actual SIEM, log data, or alert/review record. “Met (Simulated)” indicates an attribute assessed as satisfied within the scenario; a “Gap” indicates a deficiency carried to Findings (Section 11).</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80"/>
        <w:gridCol w:w="2300"/>
        <w:gridCol w:w="4600"/>
        <w:gridCol w:w="2700"/>
      </w:tblGrid>
      <w:tr>
        <w:trPr>
          <w:cantSplit/>
          <w:tblHeader/>
        </w:trPr>
        <w:tc>
          <w:tcPr>
            <w:tcW w:type="dxa" w:w="480"/>
            <w:shd w:fill="1F3864" w:color="auto" w:val="clear"/>
            <w:tcMar>
              <w:top w:type="dxa" w:w="50"/>
              <w:left w:type="dxa" w:w="90"/>
              <w:bottom w:type="dxa" w:w="50"/>
              <w:right w:type="dxa" w:w="90"/>
            </w:tcMar>
            <w:vAlign w:val="center"/>
          </w:tcPr>
          <w:p>
            <w:pPr>
              <w:spacing w:after="0"/>
              <w:jc w:val="center"/>
            </w:pPr>
            <w:r>
              <w:rPr>
                <w:b/>
                <w:bCs/>
                <w:color w:val="FFFFFF"/>
                <w:sz w:val="16"/>
                <w:szCs w:val="16"/>
              </w:rPr>
              <w:t xml:space="preserve">#</w:t>
            </w:r>
          </w:p>
        </w:tc>
        <w:tc>
          <w:tcPr>
            <w:tcW w:type="dxa" w:w="23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Control Attribute</w:t>
            </w:r>
          </w:p>
        </w:tc>
        <w:tc>
          <w:tcPr>
            <w:tcW w:type="dxa" w:w="46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Test Objective / Expected State</w:t>
            </w:r>
          </w:p>
        </w:tc>
        <w:tc>
          <w:tcPr>
            <w:tcW w:type="dxa" w:w="27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Simulated Result</w:t>
            </w:r>
          </w:p>
        </w:tc>
      </w:tr>
      <w:tr>
        <w:trPr>
          <w:cantSplit/>
        </w:trPr>
        <w:tc>
          <w:tcPr>
            <w:tcW w:type="dxa" w:w="48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1</w:t>
            </w:r>
          </w:p>
        </w:tc>
        <w:tc>
          <w:tcPr>
            <w:tcW w:type="dxa" w:w="23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Audit-log management process</w:t>
            </w:r>
          </w:p>
        </w:tc>
        <w:tc>
          <w:tcPr>
            <w:tcW w:type="dxa" w:w="46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 documented audit-log management and monitoring process is established (CIS 8.1).</w:t>
            </w:r>
          </w:p>
        </w:tc>
        <w:tc>
          <w:tcPr>
            <w:tcW w:type="dxa" w:w="27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Met (Simulated)</w:t>
            </w:r>
          </w:p>
        </w:tc>
      </w:tr>
      <w:tr>
        <w:trPr>
          <w:cantSplit/>
        </w:trPr>
        <w:tc>
          <w:tcPr>
            <w:tcW w:type="dxa" w:w="48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2</w:t>
            </w:r>
          </w:p>
        </w:tc>
        <w:tc>
          <w:tcPr>
            <w:tcW w:type="dxa" w:w="23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Log source coverage</w:t>
            </w:r>
          </w:p>
        </w:tc>
        <w:tc>
          <w:tcPr>
            <w:tcW w:type="dxa" w:w="4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Security logs from all in-scope production AI systems are collected and forwarded to central logging (CIS 8.2).</w:t>
            </w:r>
          </w:p>
        </w:tc>
        <w:tc>
          <w:tcPr>
            <w:tcW w:type="dxa" w:w="2700"/>
            <w:shd w:fill="FCE4D6" w:color="auto" w:val="clear"/>
            <w:tcMar>
              <w:top w:type="dxa" w:w="50"/>
              <w:left w:type="dxa" w:w="90"/>
              <w:bottom w:type="dxa" w:w="50"/>
              <w:right w:type="dxa" w:w="90"/>
            </w:tcMar>
            <w:vAlign w:val="top"/>
          </w:tcPr>
          <w:p>
            <w:pPr>
              <w:spacing w:after="0" w:line="264"/>
              <w:jc w:val="left"/>
            </w:pPr>
            <w:r>
              <w:rPr>
                <w:b/>
                <w:bCs/>
                <w:i w:val="false"/>
                <w:iCs w:val="false"/>
                <w:color w:val="9C4A00"/>
                <w:sz w:val="16"/>
                <w:szCs w:val="16"/>
              </w:rPr>
              <w:t xml:space="preserve">Gap (Simulated) — LOG-01</w:t>
            </w:r>
          </w:p>
        </w:tc>
      </w:tr>
      <w:tr>
        <w:trPr>
          <w:cantSplit/>
        </w:trPr>
        <w:tc>
          <w:tcPr>
            <w:tcW w:type="dxa" w:w="48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3</w:t>
            </w:r>
          </w:p>
        </w:tc>
        <w:tc>
          <w:tcPr>
            <w:tcW w:type="dxa" w:w="23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Log centralization</w:t>
            </w:r>
          </w:p>
        </w:tc>
        <w:tc>
          <w:tcPr>
            <w:tcW w:type="dxa" w:w="46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Collected logs are aggregated to the central logging capability (CIS 8.9).</w:t>
            </w:r>
          </w:p>
        </w:tc>
        <w:tc>
          <w:tcPr>
            <w:tcW w:type="dxa" w:w="27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Met (Simulated)</w:t>
            </w:r>
          </w:p>
        </w:tc>
      </w:tr>
      <w:tr>
        <w:trPr>
          <w:cantSplit/>
        </w:trPr>
        <w:tc>
          <w:tcPr>
            <w:tcW w:type="dxa" w:w="48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4</w:t>
            </w:r>
          </w:p>
        </w:tc>
        <w:tc>
          <w:tcPr>
            <w:tcW w:type="dxa" w:w="23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Detailed logging</w:t>
            </w:r>
          </w:p>
        </w:tc>
        <w:tc>
          <w:tcPr>
            <w:tcW w:type="dxa" w:w="4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Sufficient log detail is captured to support detection and investigation (CIS 8.5).</w:t>
            </w:r>
          </w:p>
        </w:tc>
        <w:tc>
          <w:tcPr>
            <w:tcW w:type="dxa" w:w="27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Met (Simulated)</w:t>
            </w:r>
          </w:p>
        </w:tc>
      </w:tr>
      <w:tr>
        <w:trPr>
          <w:cantSplit/>
        </w:trPr>
        <w:tc>
          <w:tcPr>
            <w:tcW w:type="dxa" w:w="48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5</w:t>
            </w:r>
          </w:p>
        </w:tc>
        <w:tc>
          <w:tcPr>
            <w:tcW w:type="dxa" w:w="23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Continuous review &amp; alert triage</w:t>
            </w:r>
          </w:p>
        </w:tc>
        <w:tc>
          <w:tcPr>
            <w:tcW w:type="dxa" w:w="46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Centralized logs / alerts are reviewed and triaged within a defined timeframe, with alerting thresholds for suspicious activity (CIS 8.11).</w:t>
            </w:r>
          </w:p>
        </w:tc>
        <w:tc>
          <w:tcPr>
            <w:tcW w:type="dxa" w:w="2700"/>
            <w:shd w:fill="FCE4D6" w:color="auto" w:val="clear"/>
            <w:tcMar>
              <w:top w:type="dxa" w:w="50"/>
              <w:left w:type="dxa" w:w="90"/>
              <w:bottom w:type="dxa" w:w="50"/>
              <w:right w:type="dxa" w:w="90"/>
            </w:tcMar>
            <w:vAlign w:val="top"/>
          </w:tcPr>
          <w:p>
            <w:pPr>
              <w:spacing w:after="0" w:line="264"/>
              <w:jc w:val="left"/>
            </w:pPr>
            <w:r>
              <w:rPr>
                <w:b/>
                <w:bCs/>
                <w:i w:val="false"/>
                <w:iCs w:val="false"/>
                <w:color w:val="9C4A00"/>
                <w:sz w:val="16"/>
                <w:szCs w:val="16"/>
              </w:rPr>
              <w:t xml:space="preserve">Gap (Simulated) — LOG-02</w:t>
            </w:r>
          </w:p>
        </w:tc>
      </w:tr>
      <w:tr>
        <w:trPr>
          <w:cantSplit/>
        </w:trPr>
        <w:tc>
          <w:tcPr>
            <w:tcW w:type="dxa" w:w="480"/>
            <w:shd w:fill="F2F5FA" w:color="auto" w:val="clear"/>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6</w:t>
            </w:r>
          </w:p>
        </w:tc>
        <w:tc>
          <w:tcPr>
            <w:tcW w:type="dxa" w:w="23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Log retention</w:t>
            </w:r>
          </w:p>
        </w:tc>
        <w:tc>
          <w:tcPr>
            <w:tcW w:type="dxa" w:w="4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Logs are retained per a defined retention period (CIS 8.10).</w:t>
            </w:r>
          </w:p>
        </w:tc>
        <w:tc>
          <w:tcPr>
            <w:tcW w:type="dxa" w:w="27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Met (Simulated)</w:t>
            </w:r>
          </w:p>
        </w:tc>
      </w:tr>
      <w:tr>
        <w:trPr>
          <w:cantSplit/>
        </w:trPr>
        <w:tc>
          <w:tcPr>
            <w:tcW w:type="dxa" w:w="480"/>
            <w:tcMar>
              <w:top w:type="dxa" w:w="50"/>
              <w:left w:type="dxa" w:w="90"/>
              <w:bottom w:type="dxa" w:w="50"/>
              <w:right w:type="dxa" w:w="90"/>
            </w:tcMar>
            <w:vAlign w:val="top"/>
          </w:tcPr>
          <w:p>
            <w:pPr>
              <w:spacing w:after="0" w:line="264"/>
              <w:jc w:val="center"/>
            </w:pPr>
            <w:r>
              <w:rPr>
                <w:b w:val="false"/>
                <w:bCs w:val="false"/>
                <w:i w:val="false"/>
                <w:iCs w:val="false"/>
                <w:color w:val="222222"/>
                <w:sz w:val="16"/>
                <w:szCs w:val="16"/>
              </w:rPr>
              <w:t xml:space="preserve">7</w:t>
            </w:r>
          </w:p>
        </w:tc>
        <w:tc>
          <w:tcPr>
            <w:tcW w:type="dxa" w:w="23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AI-specific detection use-cases</w:t>
            </w:r>
          </w:p>
        </w:tc>
        <w:tc>
          <w:tcPr>
            <w:tcW w:type="dxa" w:w="46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Monitoring includes AI-specific detection use-cases for production AI systems.</w:t>
            </w:r>
          </w:p>
        </w:tc>
        <w:tc>
          <w:tcPr>
            <w:tcW w:type="dxa" w:w="2700"/>
            <w:shd w:fill="FCE4D6" w:color="auto" w:val="clear"/>
            <w:tcMar>
              <w:top w:type="dxa" w:w="50"/>
              <w:left w:type="dxa" w:w="90"/>
              <w:bottom w:type="dxa" w:w="50"/>
              <w:right w:type="dxa" w:w="90"/>
            </w:tcMar>
            <w:vAlign w:val="top"/>
          </w:tcPr>
          <w:p>
            <w:pPr>
              <w:spacing w:after="0" w:line="264"/>
              <w:jc w:val="left"/>
            </w:pPr>
            <w:r>
              <w:rPr>
                <w:b/>
                <w:bCs/>
                <w:i w:val="false"/>
                <w:iCs w:val="false"/>
                <w:color w:val="9C4A00"/>
                <w:sz w:val="16"/>
                <w:szCs w:val="16"/>
              </w:rPr>
              <w:t xml:space="preserve">Gap — Observation (Simulated) — LOG-03</w:t>
            </w:r>
          </w:p>
        </w:tc>
      </w:tr>
    </w:tbl>
    <w:p>
      <w:pPr>
        <w:spacing w:after="120" w:before="60" w:line="276"/>
        <w:jc w:val="left"/>
      </w:pPr>
      <w:r>
        <w:rPr>
          <w:i/>
          <w:iCs/>
          <w:color w:val="7F7F7F"/>
          <w:sz w:val="18"/>
          <w:szCs w:val="18"/>
        </w:rPr>
        <w:t xml:space="preserve">Attributes and simulated results are portfolio-developed to illustrate how the centralized logging and review control would be assessed. They do not reflect an actual monitoring platform or log data; supporting evidence for each attribute is listed in Section 14 as Evidence Required — Not Provided.</w:t>
      </w:r>
    </w:p>
    <w:p>
      <w:pPr>
        <w:pStyle w:val="Heading1"/>
        <w:pBdr>
          <w:bottom w:val="single" w:color="B4BED4" w:sz="6" w:space="3"/>
        </w:pBdr>
      </w:pPr>
      <w:r>
        <w:t xml:space="preserve">9. Assessment Summary (Simulated)</w:t>
      </w:r>
    </w:p>
    <w:p>
      <w:pPr>
        <w:spacing w:after="120" w:before="0" w:line="276"/>
        <w:jc w:val="left"/>
      </w:pPr>
      <w:r>
        <w:rPr>
          <w:b/>
          <w:bCs/>
          <w:color w:val="222222"/>
          <w:sz w:val="21"/>
          <w:szCs w:val="21"/>
        </w:rPr>
        <w:t xml:space="preserve">Assessment Summary (Simulated): </w:t>
      </w:r>
      <w:r>
        <w:rPr>
          <w:color w:val="222222"/>
          <w:sz w:val="21"/>
          <w:szCs w:val="21"/>
        </w:rPr>
        <w:t xml:space="preserve">The simulated assessment reflects that a centralized security logging and review process is established and operating continuously — an audit-log management process, log centralization, detailed logging, and retention are in place (attributes 1, 3, 4, 6). The scenario indicates two deficiencies — incomplete log-source coverage (LOG-01) and inconsistent review / alert-triage execution (LOG-02) — and one process-improvement observation on AI-specific detection maturity (LOG-03). These reflect meaningful gaps in coverage and review execution while showing that the underlying control exists and operates.</w:t>
      </w:r>
    </w:p>
    <w:p>
      <w:pPr>
        <w:pStyle w:val="Heading1"/>
        <w:pBdr>
          <w:bottom w:val="single" w:color="B4BED4" w:sz="6" w:space="3"/>
        </w:pBdr>
      </w:pPr>
      <w:r>
        <w:t xml:space="preserve">10. Findings Summary</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150"/>
        <w:gridCol w:w="3550"/>
        <w:gridCol w:w="2030"/>
        <w:gridCol w:w="1250"/>
        <w:gridCol w:w="2100"/>
      </w:tblGrid>
      <w:tr>
        <w:trPr>
          <w:cantSplit/>
          <w:tblHeader/>
        </w:trPr>
        <w:tc>
          <w:tcPr>
            <w:tcW w:type="dxa" w:w="1150"/>
            <w:shd w:fill="1F3864" w:color="auto" w:val="clear"/>
            <w:tcMar>
              <w:top w:type="dxa" w:w="50"/>
              <w:left w:type="dxa" w:w="90"/>
              <w:bottom w:type="dxa" w:w="50"/>
              <w:right w:type="dxa" w:w="90"/>
            </w:tcMar>
            <w:vAlign w:val="center"/>
          </w:tcPr>
          <w:p>
            <w:pPr>
              <w:spacing w:after="0"/>
              <w:jc w:val="left"/>
            </w:pPr>
            <w:r>
              <w:rPr>
                <w:b/>
                <w:bCs/>
                <w:color w:val="FFFFFF"/>
                <w:sz w:val="17"/>
                <w:szCs w:val="17"/>
              </w:rPr>
              <w:t xml:space="preserve">Ref</w:t>
            </w:r>
          </w:p>
        </w:tc>
        <w:tc>
          <w:tcPr>
            <w:tcW w:type="dxa" w:w="3550"/>
            <w:shd w:fill="1F3864" w:color="auto" w:val="clear"/>
            <w:tcMar>
              <w:top w:type="dxa" w:w="50"/>
              <w:left w:type="dxa" w:w="90"/>
              <w:bottom w:type="dxa" w:w="50"/>
              <w:right w:type="dxa" w:w="90"/>
            </w:tcMar>
            <w:vAlign w:val="center"/>
          </w:tcPr>
          <w:p>
            <w:pPr>
              <w:spacing w:after="0"/>
              <w:jc w:val="left"/>
            </w:pPr>
            <w:r>
              <w:rPr>
                <w:b/>
                <w:bCs/>
                <w:color w:val="FFFFFF"/>
                <w:sz w:val="17"/>
                <w:szCs w:val="17"/>
              </w:rPr>
              <w:t xml:space="preserve">Deficiency / Type</w:t>
            </w:r>
          </w:p>
        </w:tc>
        <w:tc>
          <w:tcPr>
            <w:tcW w:type="dxa" w:w="2030"/>
            <w:shd w:fill="1F3864" w:color="auto" w:val="clear"/>
            <w:tcMar>
              <w:top w:type="dxa" w:w="50"/>
              <w:left w:type="dxa" w:w="90"/>
              <w:bottom w:type="dxa" w:w="50"/>
              <w:right w:type="dxa" w:w="90"/>
            </w:tcMar>
            <w:vAlign w:val="center"/>
          </w:tcPr>
          <w:p>
            <w:pPr>
              <w:spacing w:after="0"/>
              <w:jc w:val="left"/>
            </w:pPr>
            <w:r>
              <w:rPr>
                <w:b/>
                <w:bCs/>
                <w:color w:val="FFFFFF"/>
                <w:sz w:val="17"/>
                <w:szCs w:val="17"/>
              </w:rPr>
              <w:t xml:space="preserve">CIS Ref</w:t>
            </w:r>
          </w:p>
        </w:tc>
        <w:tc>
          <w:tcPr>
            <w:tcW w:type="dxa" w:w="1250"/>
            <w:shd w:fill="1F3864" w:color="auto" w:val="clear"/>
            <w:tcMar>
              <w:top w:type="dxa" w:w="50"/>
              <w:left w:type="dxa" w:w="90"/>
              <w:bottom w:type="dxa" w:w="50"/>
              <w:right w:type="dxa" w:w="90"/>
            </w:tcMar>
            <w:vAlign w:val="center"/>
          </w:tcPr>
          <w:p>
            <w:pPr>
              <w:spacing w:after="0"/>
              <w:jc w:val="left"/>
            </w:pPr>
            <w:r>
              <w:rPr>
                <w:b/>
                <w:bCs/>
                <w:color w:val="FFFFFF"/>
                <w:sz w:val="17"/>
                <w:szCs w:val="17"/>
              </w:rPr>
              <w:t xml:space="preserve">Severity</w:t>
            </w:r>
          </w:p>
        </w:tc>
        <w:tc>
          <w:tcPr>
            <w:tcW w:type="dxa" w:w="2100"/>
            <w:shd w:fill="1F3864" w:color="auto" w:val="clear"/>
            <w:tcMar>
              <w:top w:type="dxa" w:w="50"/>
              <w:left w:type="dxa" w:w="90"/>
              <w:bottom w:type="dxa" w:w="50"/>
              <w:right w:type="dxa" w:w="90"/>
            </w:tcMar>
            <w:vAlign w:val="center"/>
          </w:tcPr>
          <w:p>
            <w:pPr>
              <w:spacing w:after="0"/>
              <w:jc w:val="left"/>
            </w:pPr>
            <w:r>
              <w:rPr>
                <w:b/>
                <w:bCs/>
                <w:color w:val="FFFFFF"/>
                <w:sz w:val="17"/>
                <w:szCs w:val="17"/>
              </w:rPr>
              <w:t xml:space="preserve">Remediation Status</w:t>
            </w:r>
          </w:p>
        </w:tc>
      </w:tr>
      <w:tr>
        <w:trPr>
          <w:cantSplit/>
        </w:trPr>
        <w:tc>
          <w:tcPr>
            <w:tcW w:type="dxa" w:w="1150"/>
            <w:tcMar>
              <w:top w:type="dxa" w:w="50"/>
              <w:left w:type="dxa" w:w="90"/>
              <w:bottom w:type="dxa" w:w="50"/>
              <w:right w:type="dxa" w:w="90"/>
            </w:tcMar>
            <w:vAlign w:val="top"/>
          </w:tcPr>
          <w:p>
            <w:pPr>
              <w:spacing w:after="0" w:line="264"/>
              <w:jc w:val="left"/>
            </w:pPr>
            <w:r>
              <w:rPr>
                <w:b/>
                <w:bCs/>
                <w:i w:val="false"/>
                <w:iCs w:val="false"/>
                <w:color w:val="222222"/>
                <w:sz w:val="17"/>
                <w:szCs w:val="17"/>
              </w:rPr>
              <w:t xml:space="preserve">LOG-01</w:t>
            </w:r>
          </w:p>
        </w:tc>
        <w:tc>
          <w:tcPr>
            <w:tcW w:type="dxa" w:w="355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Log source coverage gap (Finding)</w:t>
            </w:r>
          </w:p>
        </w:tc>
        <w:tc>
          <w:tcPr>
            <w:tcW w:type="dxa" w:w="203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CIS 8.2 / 8.9</w:t>
            </w:r>
          </w:p>
        </w:tc>
        <w:tc>
          <w:tcPr>
            <w:tcW w:type="dxa" w:w="125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Medium</w:t>
            </w:r>
          </w:p>
        </w:tc>
        <w:tc>
          <w:tcPr>
            <w:tcW w:type="dxa" w:w="21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In Progress (Sim.)</w:t>
            </w:r>
          </w:p>
        </w:tc>
      </w:tr>
      <w:tr>
        <w:trPr>
          <w:cantSplit/>
        </w:trPr>
        <w:tc>
          <w:tcPr>
            <w:tcW w:type="dxa" w:w="1150"/>
            <w:shd w:fill="F2F5FA" w:color="auto" w:val="clear"/>
            <w:tcMar>
              <w:top w:type="dxa" w:w="50"/>
              <w:left w:type="dxa" w:w="90"/>
              <w:bottom w:type="dxa" w:w="50"/>
              <w:right w:type="dxa" w:w="90"/>
            </w:tcMar>
            <w:vAlign w:val="top"/>
          </w:tcPr>
          <w:p>
            <w:pPr>
              <w:spacing w:after="0" w:line="264"/>
              <w:jc w:val="left"/>
            </w:pPr>
            <w:r>
              <w:rPr>
                <w:b/>
                <w:bCs/>
                <w:i w:val="false"/>
                <w:iCs w:val="false"/>
                <w:color w:val="222222"/>
                <w:sz w:val="17"/>
                <w:szCs w:val="17"/>
              </w:rPr>
              <w:t xml:space="preserve">LOG-02</w:t>
            </w:r>
          </w:p>
        </w:tc>
        <w:tc>
          <w:tcPr>
            <w:tcW w:type="dxa" w:w="35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Log review / alert-triage timeliness (Finding)</w:t>
            </w:r>
          </w:p>
        </w:tc>
        <w:tc>
          <w:tcPr>
            <w:tcW w:type="dxa" w:w="203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CIS 8.11</w:t>
            </w:r>
          </w:p>
        </w:tc>
        <w:tc>
          <w:tcPr>
            <w:tcW w:type="dxa" w:w="125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Medium</w:t>
            </w:r>
          </w:p>
        </w:tc>
        <w:tc>
          <w:tcPr>
            <w:tcW w:type="dxa" w:w="21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In Progress (Sim.)</w:t>
            </w:r>
          </w:p>
        </w:tc>
      </w:tr>
      <w:tr>
        <w:trPr>
          <w:cantSplit/>
        </w:trPr>
        <w:tc>
          <w:tcPr>
            <w:tcW w:type="dxa" w:w="1150"/>
            <w:tcMar>
              <w:top w:type="dxa" w:w="50"/>
              <w:left w:type="dxa" w:w="90"/>
              <w:bottom w:type="dxa" w:w="50"/>
              <w:right w:type="dxa" w:w="90"/>
            </w:tcMar>
            <w:vAlign w:val="top"/>
          </w:tcPr>
          <w:p>
            <w:pPr>
              <w:spacing w:after="0" w:line="264"/>
              <w:jc w:val="left"/>
            </w:pPr>
            <w:r>
              <w:rPr>
                <w:b/>
                <w:bCs/>
                <w:i w:val="false"/>
                <w:iCs w:val="false"/>
                <w:color w:val="222222"/>
                <w:sz w:val="17"/>
                <w:szCs w:val="17"/>
              </w:rPr>
              <w:t xml:space="preserve">LOG-03</w:t>
            </w:r>
          </w:p>
        </w:tc>
        <w:tc>
          <w:tcPr>
            <w:tcW w:type="dxa" w:w="355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AI-specific detection use-case maturity (Observation)</w:t>
            </w:r>
          </w:p>
        </w:tc>
        <w:tc>
          <w:tcPr>
            <w:tcW w:type="dxa" w:w="203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CIS 8 (program)</w:t>
            </w:r>
          </w:p>
        </w:tc>
        <w:tc>
          <w:tcPr>
            <w:tcW w:type="dxa" w:w="125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Low</w:t>
            </w:r>
          </w:p>
        </w:tc>
        <w:tc>
          <w:tcPr>
            <w:tcW w:type="dxa" w:w="2100"/>
            <w:tcMar>
              <w:top w:type="dxa" w:w="50"/>
              <w:left w:type="dxa" w:w="90"/>
              <w:bottom w:type="dxa" w:w="50"/>
              <w:right w:type="dxa" w:w="90"/>
            </w:tcMar>
            <w:vAlign w:val="top"/>
          </w:tcPr>
          <w:p>
            <w:pPr>
              <w:spacing w:after="0" w:line="264"/>
              <w:jc w:val="left"/>
            </w:pPr>
            <w:r>
              <w:rPr>
                <w:b w:val="false"/>
                <w:bCs w:val="false"/>
                <w:i w:val="false"/>
                <w:iCs w:val="false"/>
                <w:color w:val="222222"/>
                <w:sz w:val="17"/>
                <w:szCs w:val="17"/>
              </w:rPr>
              <w:t xml:space="preserve">Open (Sim.)</w:t>
            </w:r>
          </w:p>
        </w:tc>
      </w:tr>
    </w:tbl>
    <w:p>
      <w:pPr>
        <w:pStyle w:val="Heading1"/>
        <w:pBdr>
          <w:bottom w:val="single" w:color="B4BED4" w:sz="6" w:space="3"/>
        </w:pBdr>
      </w:pPr>
      <w:r>
        <w:t xml:space="preserve">11. Detailed Findings</w:t>
      </w:r>
    </w:p>
    <w:p>
      <w:pPr>
        <w:spacing w:after="60" w:before="40" w:line="276"/>
        <w:jc w:val="left"/>
      </w:pPr>
      <w:r>
        <w:rPr>
          <w:b/>
          <w:bCs/>
          <w:color w:val="2F5496"/>
          <w:sz w:val="21"/>
          <w:szCs w:val="21"/>
        </w:rPr>
        <w:t xml:space="preserve">LOG-01 — Log Source Coverage Gap (Finding)</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00"/>
        <w:gridCol w:w="7480"/>
      </w:tblGrid>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Type</w:t>
            </w:r>
          </w:p>
        </w:tc>
        <w:tc>
          <w:tcPr>
            <w:tcW w:type="dxa" w:w="7480"/>
            <w:tcMar>
              <w:top w:type="dxa" w:w="50"/>
              <w:left w:type="dxa" w:w="90"/>
              <w:bottom w:type="dxa" w:w="50"/>
              <w:right w:type="dxa" w:w="90"/>
            </w:tcMar>
            <w:vAlign w:val="center"/>
          </w:tcPr>
          <w:p>
            <w:pPr>
              <w:spacing w:after="0" w:line="264"/>
            </w:pPr>
            <w:r>
              <w:rPr>
                <w:color w:val="222222"/>
                <w:sz w:val="18"/>
                <w:szCs w:val="18"/>
              </w:rPr>
              <w:t xml:space="preserve">Control deficiency (Finding) — log source coverage (CIS 8.2 / 8.9).</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Condition (Simulated)</w:t>
            </w:r>
          </w:p>
        </w:tc>
        <w:tc>
          <w:tcPr>
            <w:tcW w:type="dxa" w:w="7480"/>
            <w:tcMar>
              <w:top w:type="dxa" w:w="50"/>
              <w:left w:type="dxa" w:w="90"/>
              <w:bottom w:type="dxa" w:w="50"/>
              <w:right w:type="dxa" w:w="90"/>
            </w:tcMar>
            <w:vAlign w:val="center"/>
          </w:tcPr>
          <w:p>
            <w:pPr>
              <w:spacing w:after="0" w:line="264"/>
            </w:pPr>
            <w:r>
              <w:rPr>
                <w:color w:val="222222"/>
                <w:sz w:val="18"/>
                <w:szCs w:val="18"/>
              </w:rPr>
              <w:t xml:space="preserve">The assessment scenario indicates that not all in-scope production AI systems consistently forward their security logs to the central logging capability; at least one in-scope source appears incompletely onboarded, so some security events may not reach central logging for review.</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Risk / Impact</w:t>
            </w:r>
          </w:p>
        </w:tc>
        <w:tc>
          <w:tcPr>
            <w:tcW w:type="dxa" w:w="7480"/>
            <w:tcMar>
              <w:top w:type="dxa" w:w="50"/>
              <w:left w:type="dxa" w:w="90"/>
              <w:bottom w:type="dxa" w:w="50"/>
              <w:right w:type="dxa" w:w="90"/>
            </w:tcMar>
            <w:vAlign w:val="center"/>
          </w:tcPr>
          <w:p>
            <w:pPr>
              <w:spacing w:after="0" w:line="264"/>
            </w:pPr>
            <w:r>
              <w:rPr>
                <w:color w:val="222222"/>
                <w:sz w:val="18"/>
                <w:szCs w:val="18"/>
              </w:rPr>
              <w:t xml:space="preserve">Incomplete log coverage means suspicious or malicious activity on an unmonitored source could go undetected on a Critical / High production AI system (related to the detection scenarios in Section 5).</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Severity</w:t>
            </w:r>
          </w:p>
        </w:tc>
        <w:tc>
          <w:tcPr>
            <w:tcW w:type="dxa" w:w="7480"/>
            <w:tcMar>
              <w:top w:type="dxa" w:w="50"/>
              <w:left w:type="dxa" w:w="90"/>
              <w:bottom w:type="dxa" w:w="50"/>
              <w:right w:type="dxa" w:w="90"/>
            </w:tcMar>
            <w:vAlign w:val="center"/>
          </w:tcPr>
          <w:p>
            <w:pPr>
              <w:spacing w:after="0" w:line="264"/>
            </w:pPr>
            <w:r>
              <w:rPr>
                <w:color w:val="222222"/>
                <w:sz w:val="18"/>
                <w:szCs w:val="18"/>
              </w:rPr>
              <w:t xml:space="preserve">Medium.</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Recommendation</w:t>
            </w:r>
          </w:p>
        </w:tc>
        <w:tc>
          <w:tcPr>
            <w:tcW w:type="dxa" w:w="7480"/>
            <w:tcMar>
              <w:top w:type="dxa" w:w="50"/>
              <w:left w:type="dxa" w:w="90"/>
              <w:bottom w:type="dxa" w:w="50"/>
              <w:right w:type="dxa" w:w="90"/>
            </w:tcMar>
            <w:vAlign w:val="center"/>
          </w:tcPr>
          <w:p>
            <w:pPr>
              <w:spacing w:after="0" w:line="264"/>
            </w:pPr>
            <w:r>
              <w:rPr>
                <w:color w:val="222222"/>
                <w:sz w:val="18"/>
                <w:szCs w:val="18"/>
              </w:rPr>
              <w:t xml:space="preserve">Reconcile the in-scope production AI systems to the central logging source inventory; onboard any missing source; add a periodic coverage-completeness check that flags any in-scope system not forwarding logs.</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Owner</w:t>
            </w:r>
          </w:p>
        </w:tc>
        <w:tc>
          <w:tcPr>
            <w:tcW w:type="dxa" w:w="7480"/>
            <w:tcMar>
              <w:top w:type="dxa" w:w="50"/>
              <w:left w:type="dxa" w:w="90"/>
              <w:bottom w:type="dxa" w:w="50"/>
              <w:right w:type="dxa" w:w="90"/>
            </w:tcMar>
            <w:vAlign w:val="center"/>
          </w:tcPr>
          <w:p>
            <w:pPr>
              <w:spacing w:after="0" w:line="264"/>
            </w:pPr>
            <w:r>
              <w:rPr>
                <w:color w:val="222222"/>
                <w:sz w:val="18"/>
                <w:szCs w:val="18"/>
              </w:rPr>
              <w:t xml:space="preserve">Security Operations Team (central logging), with the relevant log-source / asset owners.</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Remediation Status</w:t>
            </w:r>
          </w:p>
        </w:tc>
        <w:tc>
          <w:tcPr>
            <w:tcW w:type="dxa" w:w="7480"/>
            <w:tcMar>
              <w:top w:type="dxa" w:w="50"/>
              <w:left w:type="dxa" w:w="90"/>
              <w:bottom w:type="dxa" w:w="50"/>
              <w:right w:type="dxa" w:w="90"/>
            </w:tcMar>
            <w:vAlign w:val="center"/>
          </w:tcPr>
          <w:p>
            <w:pPr>
              <w:spacing w:after="0" w:line="264"/>
            </w:pPr>
            <w:r>
              <w:rPr>
                <w:color w:val="222222"/>
                <w:sz w:val="18"/>
                <w:szCs w:val="18"/>
              </w:rPr>
              <w:t xml:space="preserve">In Progress (Simulated).</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Target Remediation Date</w:t>
            </w:r>
          </w:p>
        </w:tc>
        <w:tc>
          <w:tcPr>
            <w:tcW w:type="dxa" w:w="7480"/>
            <w:tcMar>
              <w:top w:type="dxa" w:w="50"/>
              <w:left w:type="dxa" w:w="90"/>
              <w:bottom w:type="dxa" w:w="50"/>
              <w:right w:type="dxa" w:w="90"/>
            </w:tcMar>
            <w:vAlign w:val="center"/>
          </w:tcPr>
          <w:p>
            <w:pPr>
              <w:spacing w:after="0" w:line="264"/>
            </w:pPr>
            <w:r>
              <w:rPr>
                <w:color w:val="222222"/>
                <w:sz w:val="18"/>
                <w:szCs w:val="18"/>
              </w:rPr>
              <w:t xml:space="preserve">December 31, 2026 (Simulated).</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Validation</w:t>
            </w:r>
          </w:p>
        </w:tc>
        <w:tc>
          <w:tcPr>
            <w:tcW w:type="dxa" w:w="7480"/>
            <w:tcMar>
              <w:top w:type="dxa" w:w="50"/>
              <w:left w:type="dxa" w:w="90"/>
              <w:bottom w:type="dxa" w:w="50"/>
              <w:right w:type="dxa" w:w="90"/>
            </w:tcMar>
            <w:vAlign w:val="center"/>
          </w:tcPr>
          <w:p>
            <w:pPr>
              <w:spacing w:after="0" w:line="264"/>
            </w:pPr>
            <w:r>
              <w:rPr>
                <w:color w:val="222222"/>
                <w:sz w:val="18"/>
                <w:szCs w:val="18"/>
              </w:rPr>
              <w:t xml:space="preserve">Re-confirm source-to-inventory reconciliation and coverage evidence at the next review.</w:t>
            </w:r>
          </w:p>
        </w:tc>
      </w:tr>
    </w:tbl>
    <w:p>
      <w:pPr>
        <w:spacing w:after="60" w:before="120" w:line="276"/>
        <w:jc w:val="left"/>
      </w:pPr>
      <w:r>
        <w:rPr>
          <w:b/>
          <w:bCs/>
          <w:color w:val="2F5496"/>
          <w:sz w:val="21"/>
          <w:szCs w:val="21"/>
        </w:rPr>
        <w:t xml:space="preserve">LOG-02 — Log Review / Alert-Triage Timeliness (Finding)</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00"/>
        <w:gridCol w:w="7480"/>
      </w:tblGrid>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Type</w:t>
            </w:r>
          </w:p>
        </w:tc>
        <w:tc>
          <w:tcPr>
            <w:tcW w:type="dxa" w:w="7480"/>
            <w:tcMar>
              <w:top w:type="dxa" w:w="50"/>
              <w:left w:type="dxa" w:w="90"/>
              <w:bottom w:type="dxa" w:w="50"/>
              <w:right w:type="dxa" w:w="90"/>
            </w:tcMar>
            <w:vAlign w:val="center"/>
          </w:tcPr>
          <w:p>
            <w:pPr>
              <w:spacing w:after="0" w:line="264"/>
            </w:pPr>
            <w:r>
              <w:rPr>
                <w:color w:val="222222"/>
                <w:sz w:val="18"/>
                <w:szCs w:val="18"/>
              </w:rPr>
              <w:t xml:space="preserve">Control deficiency (Finding) — audit log review (CIS 8.11).</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Condition (Simulated)</w:t>
            </w:r>
          </w:p>
        </w:tc>
        <w:tc>
          <w:tcPr>
            <w:tcW w:type="dxa" w:w="7480"/>
            <w:tcMar>
              <w:top w:type="dxa" w:w="50"/>
              <w:left w:type="dxa" w:w="90"/>
              <w:bottom w:type="dxa" w:w="50"/>
              <w:right w:type="dxa" w:w="90"/>
            </w:tcMar>
            <w:vAlign w:val="center"/>
          </w:tcPr>
          <w:p>
            <w:pPr>
              <w:spacing w:after="0" w:line="264"/>
            </w:pPr>
            <w:r>
              <w:rPr>
                <w:color w:val="222222"/>
                <w:sz w:val="18"/>
                <w:szCs w:val="18"/>
              </w:rPr>
              <w:t xml:space="preserve">The assessment scenario indicates that although logs are centralized, continuous review and alert triage are not consistently performed within a defined timeframe, and alerting thresholds for AI-relevant suspicious activity are not fully established.</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Risk / Impact</w:t>
            </w:r>
          </w:p>
        </w:tc>
        <w:tc>
          <w:tcPr>
            <w:tcW w:type="dxa" w:w="7480"/>
            <w:tcMar>
              <w:top w:type="dxa" w:w="50"/>
              <w:left w:type="dxa" w:w="90"/>
              <w:bottom w:type="dxa" w:w="50"/>
              <w:right w:type="dxa" w:w="90"/>
            </w:tcMar>
            <w:vAlign w:val="center"/>
          </w:tcPr>
          <w:p>
            <w:pPr>
              <w:spacing w:after="0" w:line="264"/>
            </w:pPr>
            <w:r>
              <w:rPr>
                <w:color w:val="222222"/>
                <w:sz w:val="18"/>
                <w:szCs w:val="18"/>
              </w:rPr>
              <w:t xml:space="preserve">Delayed or inconsistent review of centralized logs and alerts can delay detection of and response to suspicious activity, extending attacker dwell time on production AI systems.</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Severity</w:t>
            </w:r>
          </w:p>
        </w:tc>
        <w:tc>
          <w:tcPr>
            <w:tcW w:type="dxa" w:w="7480"/>
            <w:tcMar>
              <w:top w:type="dxa" w:w="50"/>
              <w:left w:type="dxa" w:w="90"/>
              <w:bottom w:type="dxa" w:w="50"/>
              <w:right w:type="dxa" w:w="90"/>
            </w:tcMar>
            <w:vAlign w:val="center"/>
          </w:tcPr>
          <w:p>
            <w:pPr>
              <w:spacing w:after="0" w:line="264"/>
            </w:pPr>
            <w:r>
              <w:rPr>
                <w:color w:val="222222"/>
                <w:sz w:val="18"/>
                <w:szCs w:val="18"/>
              </w:rPr>
              <w:t xml:space="preserve">Medium.</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Recommendation</w:t>
            </w:r>
          </w:p>
        </w:tc>
        <w:tc>
          <w:tcPr>
            <w:tcW w:type="dxa" w:w="7480"/>
            <w:tcMar>
              <w:top w:type="dxa" w:w="50"/>
              <w:left w:type="dxa" w:w="90"/>
              <w:bottom w:type="dxa" w:w="50"/>
              <w:right w:type="dxa" w:w="90"/>
            </w:tcMar>
            <w:vAlign w:val="center"/>
          </w:tcPr>
          <w:p>
            <w:pPr>
              <w:spacing w:after="0" w:line="264"/>
            </w:pPr>
            <w:r>
              <w:rPr>
                <w:color w:val="222222"/>
                <w:sz w:val="18"/>
                <w:szCs w:val="18"/>
              </w:rPr>
              <w:t xml:space="preserve">Define review / triage timeframes and alerting thresholds for suspicious activity on in-scope systems; document who reviews, how often, and escalation paths; report review / triage timeliness metrics.</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Owner</w:t>
            </w:r>
          </w:p>
        </w:tc>
        <w:tc>
          <w:tcPr>
            <w:tcW w:type="dxa" w:w="7480"/>
            <w:tcMar>
              <w:top w:type="dxa" w:w="50"/>
              <w:left w:type="dxa" w:w="90"/>
              <w:bottom w:type="dxa" w:w="50"/>
              <w:right w:type="dxa" w:w="90"/>
            </w:tcMar>
            <w:vAlign w:val="center"/>
          </w:tcPr>
          <w:p>
            <w:pPr>
              <w:spacing w:after="0" w:line="264"/>
            </w:pPr>
            <w:r>
              <w:rPr>
                <w:color w:val="222222"/>
                <w:sz w:val="18"/>
                <w:szCs w:val="18"/>
              </w:rPr>
              <w:t xml:space="preserve">Security Operations Team.</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Remediation Status</w:t>
            </w:r>
          </w:p>
        </w:tc>
        <w:tc>
          <w:tcPr>
            <w:tcW w:type="dxa" w:w="7480"/>
            <w:tcMar>
              <w:top w:type="dxa" w:w="50"/>
              <w:left w:type="dxa" w:w="90"/>
              <w:bottom w:type="dxa" w:w="50"/>
              <w:right w:type="dxa" w:w="90"/>
            </w:tcMar>
            <w:vAlign w:val="center"/>
          </w:tcPr>
          <w:p>
            <w:pPr>
              <w:spacing w:after="0" w:line="264"/>
            </w:pPr>
            <w:r>
              <w:rPr>
                <w:color w:val="222222"/>
                <w:sz w:val="18"/>
                <w:szCs w:val="18"/>
              </w:rPr>
              <w:t xml:space="preserve">In Progress (Simulated).</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Target Remediation Date</w:t>
            </w:r>
          </w:p>
        </w:tc>
        <w:tc>
          <w:tcPr>
            <w:tcW w:type="dxa" w:w="7480"/>
            <w:tcMar>
              <w:top w:type="dxa" w:w="50"/>
              <w:left w:type="dxa" w:w="90"/>
              <w:bottom w:type="dxa" w:w="50"/>
              <w:right w:type="dxa" w:w="90"/>
            </w:tcMar>
            <w:vAlign w:val="center"/>
          </w:tcPr>
          <w:p>
            <w:pPr>
              <w:spacing w:after="0" w:line="264"/>
            </w:pPr>
            <w:r>
              <w:rPr>
                <w:color w:val="222222"/>
                <w:sz w:val="18"/>
                <w:szCs w:val="18"/>
              </w:rPr>
              <w:t xml:space="preserve">December 31, 2026 (Simulated).</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Validation</w:t>
            </w:r>
          </w:p>
        </w:tc>
        <w:tc>
          <w:tcPr>
            <w:tcW w:type="dxa" w:w="7480"/>
            <w:tcMar>
              <w:top w:type="dxa" w:w="50"/>
              <w:left w:type="dxa" w:w="90"/>
              <w:bottom w:type="dxa" w:w="50"/>
              <w:right w:type="dxa" w:w="90"/>
            </w:tcMar>
            <w:vAlign w:val="center"/>
          </w:tcPr>
          <w:p>
            <w:pPr>
              <w:spacing w:after="0" w:line="264"/>
            </w:pPr>
            <w:r>
              <w:rPr>
                <w:color w:val="222222"/>
                <w:sz w:val="18"/>
                <w:szCs w:val="18"/>
              </w:rPr>
              <w:t xml:space="preserve">Review triage-timeliness metrics and alerting configuration at the next review.</w:t>
            </w:r>
          </w:p>
        </w:tc>
      </w:tr>
    </w:tbl>
    <w:p>
      <w:pPr>
        <w:spacing w:after="60" w:before="120" w:line="276"/>
        <w:jc w:val="left"/>
      </w:pPr>
      <w:r>
        <w:rPr>
          <w:b/>
          <w:bCs/>
          <w:color w:val="2F5496"/>
          <w:sz w:val="21"/>
          <w:szCs w:val="21"/>
        </w:rPr>
        <w:t xml:space="preserve">LOG-03 — AI-Specific Detection Use-Case Maturity (Observation)</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00"/>
        <w:gridCol w:w="7480"/>
      </w:tblGrid>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Type</w:t>
            </w:r>
          </w:p>
        </w:tc>
        <w:tc>
          <w:tcPr>
            <w:tcW w:type="dxa" w:w="7480"/>
            <w:tcMar>
              <w:top w:type="dxa" w:w="50"/>
              <w:left w:type="dxa" w:w="90"/>
              <w:bottom w:type="dxa" w:w="50"/>
              <w:right w:type="dxa" w:w="90"/>
            </w:tcMar>
            <w:vAlign w:val="center"/>
          </w:tcPr>
          <w:p>
            <w:pPr>
              <w:spacing w:after="0" w:line="264"/>
            </w:pPr>
            <w:r>
              <w:rPr>
                <w:color w:val="222222"/>
                <w:sz w:val="18"/>
                <w:szCs w:val="18"/>
              </w:rPr>
              <w:t xml:space="preserve">Process-Improvement Observation — not a control exception.</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Condition (Simulated)</w:t>
            </w:r>
          </w:p>
        </w:tc>
        <w:tc>
          <w:tcPr>
            <w:tcW w:type="dxa" w:w="7480"/>
            <w:tcMar>
              <w:top w:type="dxa" w:w="50"/>
              <w:left w:type="dxa" w:w="90"/>
              <w:bottom w:type="dxa" w:w="50"/>
              <w:right w:type="dxa" w:w="90"/>
            </w:tcMar>
            <w:vAlign w:val="center"/>
          </w:tcPr>
          <w:p>
            <w:pPr>
              <w:spacing w:after="0" w:line="264"/>
            </w:pPr>
            <w:r>
              <w:rPr>
                <w:color w:val="222222"/>
                <w:sz w:val="18"/>
                <w:szCs w:val="18"/>
              </w:rPr>
              <w:t xml:space="preserve">The assessment scenario indicates that general security monitoring is established, but AI-specific detection use cases, such as anomalous model API access, unusual model-administration activity, or unexpected access patterns affecting AI data repositories, are not yet formally defined across the monitoring program.</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Risk / Impact</w:t>
            </w:r>
          </w:p>
        </w:tc>
        <w:tc>
          <w:tcPr>
            <w:tcW w:type="dxa" w:w="7480"/>
            <w:tcMar>
              <w:top w:type="dxa" w:w="50"/>
              <w:left w:type="dxa" w:w="90"/>
              <w:bottom w:type="dxa" w:w="50"/>
              <w:right w:type="dxa" w:w="90"/>
            </w:tcMar>
            <w:vAlign w:val="center"/>
          </w:tcPr>
          <w:p>
            <w:pPr>
              <w:spacing w:after="0" w:line="264"/>
            </w:pPr>
            <w:r>
              <w:rPr>
                <w:color w:val="222222"/>
                <w:sz w:val="18"/>
                <w:szCs w:val="18"/>
              </w:rPr>
              <w:t xml:space="preserve">Low. General monitoring exists; however, AI-specific threats may not be fully covered by generic detection alone.</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Severity</w:t>
            </w:r>
          </w:p>
        </w:tc>
        <w:tc>
          <w:tcPr>
            <w:tcW w:type="dxa" w:w="7480"/>
            <w:tcMar>
              <w:top w:type="dxa" w:w="50"/>
              <w:left w:type="dxa" w:w="90"/>
              <w:bottom w:type="dxa" w:w="50"/>
              <w:right w:type="dxa" w:w="90"/>
            </w:tcMar>
            <w:vAlign w:val="center"/>
          </w:tcPr>
          <w:p>
            <w:pPr>
              <w:spacing w:after="0" w:line="264"/>
            </w:pPr>
            <w:r>
              <w:rPr>
                <w:color w:val="222222"/>
                <w:sz w:val="18"/>
                <w:szCs w:val="18"/>
              </w:rPr>
              <w:t xml:space="preserve">Low (Observation).</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Recommendation</w:t>
            </w:r>
          </w:p>
        </w:tc>
        <w:tc>
          <w:tcPr>
            <w:tcW w:type="dxa" w:w="7480"/>
            <w:tcMar>
              <w:top w:type="dxa" w:w="50"/>
              <w:left w:type="dxa" w:w="90"/>
              <w:bottom w:type="dxa" w:w="50"/>
              <w:right w:type="dxa" w:w="90"/>
            </w:tcMar>
            <w:vAlign w:val="center"/>
          </w:tcPr>
          <w:p>
            <w:pPr>
              <w:spacing w:after="0" w:line="264"/>
            </w:pPr>
            <w:r>
              <w:rPr>
                <w:color w:val="222222"/>
                <w:sz w:val="18"/>
                <w:szCs w:val="18"/>
              </w:rPr>
              <w:t xml:space="preserve">Define and document prioritized AI-specific detection use cases for critical and high-classification production AI systems and incorporate them into the monitoring program’s detection and review procedures.</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Owner</w:t>
            </w:r>
          </w:p>
        </w:tc>
        <w:tc>
          <w:tcPr>
            <w:tcW w:type="dxa" w:w="7480"/>
            <w:tcMar>
              <w:top w:type="dxa" w:w="50"/>
              <w:left w:type="dxa" w:w="90"/>
              <w:bottom w:type="dxa" w:w="50"/>
              <w:right w:type="dxa" w:w="90"/>
            </w:tcMar>
            <w:vAlign w:val="center"/>
          </w:tcPr>
          <w:p>
            <w:pPr>
              <w:spacing w:after="0" w:line="264"/>
            </w:pPr>
            <w:r>
              <w:rPr>
                <w:color w:val="222222"/>
                <w:sz w:val="18"/>
                <w:szCs w:val="18"/>
              </w:rPr>
              <w:t xml:space="preserve">Security Operations Team.</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Remediation Status</w:t>
            </w:r>
          </w:p>
        </w:tc>
        <w:tc>
          <w:tcPr>
            <w:tcW w:type="dxa" w:w="7480"/>
            <w:tcMar>
              <w:top w:type="dxa" w:w="50"/>
              <w:left w:type="dxa" w:w="90"/>
              <w:bottom w:type="dxa" w:w="50"/>
              <w:right w:type="dxa" w:w="90"/>
            </w:tcMar>
            <w:vAlign w:val="center"/>
          </w:tcPr>
          <w:p>
            <w:pPr>
              <w:spacing w:after="0" w:line="264"/>
            </w:pPr>
            <w:r>
              <w:rPr>
                <w:color w:val="222222"/>
                <w:sz w:val="18"/>
                <w:szCs w:val="18"/>
              </w:rPr>
              <w:t xml:space="preserve">Open (Simulated).</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Target Remediation Date</w:t>
            </w:r>
          </w:p>
        </w:tc>
        <w:tc>
          <w:tcPr>
            <w:tcW w:type="dxa" w:w="7480"/>
            <w:tcMar>
              <w:top w:type="dxa" w:w="50"/>
              <w:left w:type="dxa" w:w="90"/>
              <w:bottom w:type="dxa" w:w="50"/>
              <w:right w:type="dxa" w:w="90"/>
            </w:tcMar>
            <w:vAlign w:val="center"/>
          </w:tcPr>
          <w:p>
            <w:pPr>
              <w:spacing w:after="0" w:line="264"/>
            </w:pPr>
            <w:r>
              <w:rPr>
                <w:color w:val="222222"/>
                <w:sz w:val="18"/>
                <w:szCs w:val="18"/>
              </w:rPr>
              <w:t xml:space="preserve">Q1 2027 (Simulated).</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Validation</w:t>
            </w:r>
          </w:p>
        </w:tc>
        <w:tc>
          <w:tcPr>
            <w:tcW w:type="dxa" w:w="7480"/>
            <w:tcMar>
              <w:top w:type="dxa" w:w="50"/>
              <w:left w:type="dxa" w:w="90"/>
              <w:bottom w:type="dxa" w:w="50"/>
              <w:right w:type="dxa" w:w="90"/>
            </w:tcMar>
            <w:vAlign w:val="center"/>
          </w:tcPr>
          <w:p>
            <w:pPr>
              <w:spacing w:after="0" w:line="264"/>
            </w:pPr>
            <w:r>
              <w:rPr>
                <w:color w:val="222222"/>
                <w:sz w:val="18"/>
                <w:szCs w:val="18"/>
              </w:rPr>
              <w:t xml:space="preserve">Confirm defined AI-specific detection use-cases and their incorporation at a subsequent review.</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Effect on Rating</w:t>
            </w:r>
          </w:p>
        </w:tc>
        <w:tc>
          <w:tcPr>
            <w:tcW w:type="dxa" w:w="7480"/>
            <w:tcMar>
              <w:top w:type="dxa" w:w="50"/>
              <w:left w:type="dxa" w:w="90"/>
              <w:bottom w:type="dxa" w:w="50"/>
              <w:right w:type="dxa" w:w="90"/>
            </w:tcMar>
            <w:vAlign w:val="center"/>
          </w:tcPr>
          <w:p>
            <w:pPr>
              <w:spacing w:after="0" w:line="264"/>
            </w:pPr>
            <w:r>
              <w:rPr>
                <w:color w:val="222222"/>
                <w:sz w:val="18"/>
                <w:szCs w:val="18"/>
              </w:rPr>
              <w:t xml:space="preserve">None independently. The Partially Effective conclusion is driven primarily by LOG-01 and LOG-02.</w:t>
            </w:r>
          </w:p>
        </w:tc>
      </w:tr>
    </w:tbl>
    <w:p>
      <w:pPr>
        <w:spacing w:after="120" w:before="80" w:line="276"/>
        <w:jc w:val="left"/>
      </w:pPr>
      <w:r>
        <w:rPr>
          <w:b/>
          <w:bCs/>
          <w:color w:val="222222"/>
          <w:sz w:val="21"/>
          <w:szCs w:val="21"/>
        </w:rPr>
        <w:t xml:space="preserve">Note: </w:t>
      </w:r>
      <w:r>
        <w:rPr>
          <w:i/>
          <w:iCs/>
          <w:color w:val="222222"/>
          <w:sz w:val="21"/>
          <w:szCs w:val="21"/>
        </w:rPr>
        <w:t xml:space="preserve">No actual monitoring platform, log data, or alert / review record was examined. Findings, severities, remediation statuses, and target dates are simulated planning values representing the scenario state. The evidence that would substantiate or refute each finding is listed in Section 14.</w:t>
      </w:r>
    </w:p>
    <w:p>
      <w:pPr>
        <w:pStyle w:val="Heading1"/>
        <w:pBdr>
          <w:bottom w:val="single" w:color="B4BED4" w:sz="6" w:space="3"/>
        </w:pBdr>
      </w:pPr>
      <w:r>
        <w:t xml:space="preserve">12. Effectiveness Determination</w:t>
      </w:r>
    </w:p>
    <w:p>
      <w:pPr>
        <w:spacing w:after="120" w:before="0" w:line="276"/>
        <w:jc w:val="left"/>
      </w:pPr>
      <w:r>
        <w:rPr>
          <w:color w:val="222222"/>
          <w:sz w:val="21"/>
          <w:szCs w:val="21"/>
        </w:rPr>
        <w:t xml:space="preserve">The rating below is derived from the design of the control and the operating deficiencies identified during the simulated assessment.</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00"/>
        <w:gridCol w:w="7480"/>
      </w:tblGrid>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Design</w:t>
            </w:r>
          </w:p>
        </w:tc>
        <w:tc>
          <w:tcPr>
            <w:tcW w:type="dxa" w:w="7480"/>
            <w:tcMar>
              <w:top w:type="dxa" w:w="50"/>
              <w:left w:type="dxa" w:w="90"/>
              <w:bottom w:type="dxa" w:w="50"/>
              <w:right w:type="dxa" w:w="90"/>
            </w:tcMar>
            <w:vAlign w:val="center"/>
          </w:tcPr>
          <w:p>
            <w:pPr>
              <w:spacing w:after="0" w:line="264"/>
            </w:pPr>
            <w:r>
              <w:rPr>
                <w:color w:val="222222"/>
                <w:sz w:val="18"/>
                <w:szCs w:val="18"/>
              </w:rPr>
              <w:t xml:space="preserve">The centralized logging and monitoring process exists and operates continuously — an audit-log management process, log centralization, detailed logging, and retention are established (attributes 1, 3, 4, 6). On this basis the control is not rated Ineffective.</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Operating deficiencies</w:t>
            </w:r>
          </w:p>
        </w:tc>
        <w:tc>
          <w:tcPr>
            <w:tcW w:type="dxa" w:w="7480"/>
            <w:tcMar>
              <w:top w:type="dxa" w:w="50"/>
              <w:left w:type="dxa" w:w="90"/>
              <w:bottom w:type="dxa" w:w="50"/>
              <w:right w:type="dxa" w:w="90"/>
            </w:tcMar>
            <w:vAlign w:val="center"/>
          </w:tcPr>
          <w:p>
            <w:pPr>
              <w:spacing w:after="0" w:line="264"/>
            </w:pPr>
            <w:r>
              <w:rPr>
                <w:color w:val="222222"/>
                <w:sz w:val="18"/>
                <w:szCs w:val="18"/>
              </w:rPr>
              <w:t xml:space="preserve">Incomplete log-source coverage (LOG-01) and inconsistent alert-review / triage execution (LOG-02) prevent the control from consistently achieving its objective of detecting suspicious activity across in-scope production AI systems; an AI-specific detection maturity observation (LOG-03) was also noted. On this basis the control is not rated Effective.</w:t>
            </w:r>
          </w:p>
        </w:tc>
      </w:tr>
      <w:tr>
        <w:trPr>
          <w:cantSplit/>
        </w:trPr>
        <w:tc>
          <w:tcPr>
            <w:tcW w:type="dxa" w:w="2600"/>
            <w:shd w:fill="DCE3F1" w:color="auto" w:val="clear"/>
            <w:tcMar>
              <w:top w:type="dxa" w:w="50"/>
              <w:left w:type="dxa" w:w="90"/>
              <w:bottom w:type="dxa" w:w="50"/>
              <w:right w:type="dxa" w:w="90"/>
            </w:tcMar>
            <w:vAlign w:val="center"/>
          </w:tcPr>
          <w:p>
            <w:pPr>
              <w:spacing w:after="0" w:line="264"/>
            </w:pPr>
            <w:r>
              <w:rPr>
                <w:b/>
                <w:bCs/>
                <w:color w:val="1F3864"/>
                <w:sz w:val="18"/>
                <w:szCs w:val="18"/>
              </w:rPr>
              <w:t xml:space="preserve">Overall conclusion</w:t>
            </w:r>
          </w:p>
        </w:tc>
        <w:tc>
          <w:tcPr>
            <w:tcW w:type="dxa" w:w="7480"/>
            <w:tcMar>
              <w:top w:type="dxa" w:w="50"/>
              <w:left w:type="dxa" w:w="90"/>
              <w:bottom w:type="dxa" w:w="50"/>
              <w:right w:type="dxa" w:w="90"/>
            </w:tcMar>
            <w:vAlign w:val="center"/>
          </w:tcPr>
          <w:p>
            <w:pPr>
              <w:spacing w:after="0" w:line="264"/>
            </w:pPr>
            <w:r>
              <w:rPr>
                <w:b/>
                <w:bCs/>
                <w:color w:val="222222"/>
                <w:sz w:val="18"/>
                <w:szCs w:val="18"/>
              </w:rPr>
              <w:t xml:space="preserve">Partially Effective for the Q3 2026 assessment period.</w:t>
            </w:r>
          </w:p>
        </w:tc>
      </w:tr>
    </w:tbl>
    <w:p>
      <w:pPr>
        <w:pStyle w:val="Heading1"/>
        <w:pBdr>
          <w:bottom w:val="single" w:color="B4BED4" w:sz="6" w:space="3"/>
        </w:pBdr>
      </w:pPr>
      <w:r>
        <w:t xml:space="preserve">13. Conclusion</w:t>
      </w:r>
    </w:p>
    <w:p>
      <w:pPr>
        <w:spacing w:after="120" w:before="0" w:line="276"/>
        <w:jc w:val="left"/>
      </w:pPr>
      <w:r>
        <w:rPr>
          <w:color w:val="222222"/>
          <w:sz w:val="21"/>
          <w:szCs w:val="21"/>
        </w:rPr>
        <w:t xml:space="preserve">Within this simulated GRC scenario, the documented assessment results are consistent with the Partially Effective rating recorded for CTL-008 in the MindfulAI Labs Control Register. The identified deficiencies — incomplete log-source coverage and inconsistent log review / alert triage — demonstrate why the simulated scenario result is Partially Effective rather than Effective; the AI-specific detection observation (LOG-03) is a maturity improvement and does not independently drive the rating. No actual monitoring platform or log data was examined; the results are illustrative and do not represent monitoring performed against an actual system.</w:t>
      </w:r>
    </w:p>
    <w:p>
      <w:pPr>
        <w:spacing w:after="120" w:before="0" w:line="276"/>
        <w:jc w:val="left"/>
      </w:pPr>
      <w:r>
        <w:rPr>
          <w:b/>
          <w:bCs/>
          <w:color w:val="222222"/>
          <w:sz w:val="21"/>
          <w:szCs w:val="21"/>
        </w:rPr>
        <w:t xml:space="preserve">Residual risk. </w:t>
      </w:r>
      <w:r>
        <w:rPr>
          <w:color w:val="222222"/>
          <w:sz w:val="21"/>
          <w:szCs w:val="21"/>
        </w:rPr>
        <w:t xml:space="preserve">Residual risk remains elevated until LOG-01 and LOG-02 are remediated, as coverage and review gaps mean suspicious activity on in-scope production AI systems may go undetected or be reviewed too slowly. Residual risk is expected to reduce upon completion of the remediation actions and re-assessment. The remediation actions in Section 11, the risk-register coverage gap, and the asset-register observation (Section 5 and Section 3) are carried to the consolidated GRC Findings &amp; Remediation Tracker.</w:t>
      </w:r>
    </w:p>
    <w:p>
      <w:pPr>
        <w:pStyle w:val="Heading1"/>
        <w:pBdr>
          <w:bottom w:val="single" w:color="B4BED4" w:sz="6" w:space="3"/>
        </w:pBdr>
      </w:pPr>
      <w:r>
        <w:t xml:space="preserve">14. Simulated Evidence Requirements — Not Provided</w:t>
      </w:r>
    </w:p>
    <w:p>
      <w:pPr>
        <w:spacing w:after="120" w:before="0" w:line="276"/>
        <w:jc w:val="left"/>
      </w:pPr>
      <w:r>
        <w:rPr>
          <w:color w:val="222222"/>
          <w:sz w:val="21"/>
          <w:szCs w:val="21"/>
        </w:rPr>
        <w:t xml:space="preserve">In a live engagement, the following evidence would be requested and retained to support the assessment conclusions. For this simulated artifact, no such evidence has been generated or attached.</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480"/>
        <w:gridCol w:w="3600"/>
      </w:tblGrid>
      <w:tr>
        <w:trPr>
          <w:cantSplit/>
          <w:tblHeader/>
        </w:trPr>
        <w:tc>
          <w:tcPr>
            <w:tcW w:type="dxa" w:w="648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Evidence Item</w:t>
            </w:r>
          </w:p>
        </w:tc>
        <w:tc>
          <w:tcPr>
            <w:tcW w:type="dxa" w:w="360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Status</w:t>
            </w:r>
          </w:p>
        </w:tc>
      </w:tr>
      <w:tr>
        <w:trPr>
          <w:cantSplit/>
        </w:trPr>
        <w:tc>
          <w:tcPr>
            <w:tcW w:type="dxa" w:w="64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Central logging / SIEM configuration and log-source inventory</w:t>
            </w:r>
          </w:p>
        </w:tc>
        <w:tc>
          <w:tcPr>
            <w:tcW w:type="dxa" w:w="36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Log-forwarding / collection configuration for in-scope systems</w:t>
            </w:r>
          </w:p>
        </w:tc>
        <w:tc>
          <w:tcPr>
            <w:tcW w:type="dxa" w:w="3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Sample centralized log records demonstrating coverage</w:t>
            </w:r>
          </w:p>
        </w:tc>
        <w:tc>
          <w:tcPr>
            <w:tcW w:type="dxa" w:w="36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Detection / alerting rule configuration and thresholds</w:t>
            </w:r>
          </w:p>
        </w:tc>
        <w:tc>
          <w:tcPr>
            <w:tcW w:type="dxa" w:w="3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Alert review / triage records and timeliness metrics</w:t>
            </w:r>
          </w:p>
        </w:tc>
        <w:tc>
          <w:tcPr>
            <w:tcW w:type="dxa" w:w="36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Log retention configuration and evidence</w:t>
            </w:r>
          </w:p>
        </w:tc>
        <w:tc>
          <w:tcPr>
            <w:tcW w:type="dxa" w:w="3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Documented audit-log management and monitoring procedures</w:t>
            </w:r>
          </w:p>
        </w:tc>
        <w:tc>
          <w:tcPr>
            <w:tcW w:type="dxa" w:w="36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r>
        <w:trPr>
          <w:cantSplit/>
        </w:trPr>
        <w:tc>
          <w:tcPr>
            <w:tcW w:type="dxa" w:w="648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AI-specific detection use-case definitions (where applicable)</w:t>
            </w:r>
          </w:p>
        </w:tc>
        <w:tc>
          <w:tcPr>
            <w:tcW w:type="dxa" w:w="3600"/>
            <w:shd w:fill="F2F5FA" w:color="auto" w:val="clear"/>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Evidence Required — Not Provided (Simulated Requirement)</w:t>
            </w:r>
          </w:p>
        </w:tc>
      </w:tr>
    </w:tbl>
    <w:p>
      <w:pPr>
        <w:pStyle w:val="Heading1"/>
        <w:pBdr>
          <w:bottom w:val="single" w:color="B4BED4" w:sz="6" w:space="3"/>
        </w:pBdr>
      </w:pPr>
      <w:r>
        <w:t xml:space="preserve">15. Reviewer / Sign-Off — Not Applicable (Portfolio Simulation)</w:t>
      </w:r>
    </w:p>
    <w:p>
      <w:pPr>
        <w:spacing w:after="120" w:before="0" w:line="276"/>
        <w:jc w:val="left"/>
      </w:pPr>
      <w:r>
        <w:rPr>
          <w:i/>
          <w:iCs/>
          <w:color w:val="222222"/>
          <w:sz w:val="19"/>
          <w:szCs w:val="19"/>
        </w:rPr>
        <w:t xml:space="preserve">Sign-off is not applicable for this portfolio simulation. The blank sign-off table below illustrates the review and approval fields the real artifact would capture.</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000"/>
        <w:gridCol w:w="2580"/>
        <w:gridCol w:w="1900"/>
        <w:gridCol w:w="1200"/>
        <w:gridCol w:w="1400"/>
      </w:tblGrid>
      <w:tr>
        <w:trPr>
          <w:cantSplit/>
          <w:tblHeader/>
        </w:trPr>
        <w:tc>
          <w:tcPr>
            <w:tcW w:type="dxa" w:w="30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Role</w:t>
            </w:r>
          </w:p>
        </w:tc>
        <w:tc>
          <w:tcPr>
            <w:tcW w:type="dxa" w:w="258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Name</w:t>
            </w:r>
          </w:p>
        </w:tc>
        <w:tc>
          <w:tcPr>
            <w:tcW w:type="dxa" w:w="19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Title</w:t>
            </w:r>
          </w:p>
        </w:tc>
        <w:tc>
          <w:tcPr>
            <w:tcW w:type="dxa" w:w="12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Signature</w:t>
            </w:r>
          </w:p>
        </w:tc>
        <w:tc>
          <w:tcPr>
            <w:tcW w:type="dxa" w:w="1400"/>
            <w:shd w:fill="1F3864" w:color="auto" w:val="clear"/>
            <w:tcMar>
              <w:top w:type="dxa" w:w="50"/>
              <w:left w:type="dxa" w:w="90"/>
              <w:bottom w:type="dxa" w:w="50"/>
              <w:right w:type="dxa" w:w="90"/>
            </w:tcMar>
            <w:vAlign w:val="center"/>
          </w:tcPr>
          <w:p>
            <w:pPr>
              <w:spacing w:after="0"/>
              <w:jc w:val="left"/>
            </w:pPr>
            <w:r>
              <w:rPr>
                <w:b/>
                <w:bCs/>
                <w:color w:val="FFFFFF"/>
                <w:sz w:val="16"/>
                <w:szCs w:val="16"/>
              </w:rPr>
              <w:t xml:space="preserve">Date</w:t>
            </w:r>
          </w:p>
        </w:tc>
      </w:tr>
      <w:tr>
        <w:trPr>
          <w:cantSplit/>
          <w:trHeight w:val="500" w:hRule="atLeast"/>
        </w:trPr>
        <w:tc>
          <w:tcPr>
            <w:tcW w:type="dxa" w:w="3000"/>
            <w:shd w:fill="DCE3F1" w:color="auto" w:val="clear"/>
            <w:tcMar>
              <w:top w:type="dxa" w:w="50"/>
              <w:left w:type="dxa" w:w="90"/>
              <w:bottom w:type="dxa" w:w="50"/>
              <w:right w:type="dxa" w:w="90"/>
            </w:tcMar>
            <w:vAlign w:val="top"/>
          </w:tcPr>
          <w:p>
            <w:pPr>
              <w:spacing w:after="0" w:line="264"/>
              <w:jc w:val="left"/>
            </w:pPr>
            <w:r>
              <w:rPr>
                <w:b/>
                <w:bCs/>
                <w:i w:val="false"/>
                <w:iCs w:val="false"/>
                <w:color w:val="1F3864"/>
                <w:sz w:val="16"/>
                <w:szCs w:val="16"/>
              </w:rPr>
              <w:t xml:space="preserve">Assessment Performed By (GRC Analyst)</w:t>
            </w:r>
          </w:p>
        </w:tc>
        <w:tc>
          <w:tcPr>
            <w:tcW w:type="dxa" w:w="25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9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4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r>
      <w:tr>
        <w:trPr>
          <w:cantSplit/>
          <w:trHeight w:val="500" w:hRule="atLeast"/>
        </w:trPr>
        <w:tc>
          <w:tcPr>
            <w:tcW w:type="dxa" w:w="3000"/>
            <w:shd w:fill="DCE3F1" w:color="auto" w:val="clear"/>
            <w:tcMar>
              <w:top w:type="dxa" w:w="50"/>
              <w:left w:type="dxa" w:w="90"/>
              <w:bottom w:type="dxa" w:w="50"/>
              <w:right w:type="dxa" w:w="90"/>
            </w:tcMar>
            <w:vAlign w:val="top"/>
          </w:tcPr>
          <w:p>
            <w:pPr>
              <w:spacing w:after="0" w:line="264"/>
              <w:jc w:val="left"/>
            </w:pPr>
            <w:r>
              <w:rPr>
                <w:b/>
                <w:bCs/>
                <w:i w:val="false"/>
                <w:iCs w:val="false"/>
                <w:color w:val="1F3864"/>
                <w:sz w:val="16"/>
                <w:szCs w:val="16"/>
              </w:rPr>
              <w:t xml:space="preserve">Control Owner Attestation (Security Operations Team)</w:t>
            </w:r>
          </w:p>
        </w:tc>
        <w:tc>
          <w:tcPr>
            <w:tcW w:type="dxa" w:w="25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9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4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r>
      <w:tr>
        <w:trPr>
          <w:cantSplit/>
          <w:trHeight w:val="500" w:hRule="atLeast"/>
        </w:trPr>
        <w:tc>
          <w:tcPr>
            <w:tcW w:type="dxa" w:w="3000"/>
            <w:shd w:fill="DCE3F1" w:color="auto" w:val="clear"/>
            <w:tcMar>
              <w:top w:type="dxa" w:w="50"/>
              <w:left w:type="dxa" w:w="90"/>
              <w:bottom w:type="dxa" w:w="50"/>
              <w:right w:type="dxa" w:w="90"/>
            </w:tcMar>
            <w:vAlign w:val="top"/>
          </w:tcPr>
          <w:p>
            <w:pPr>
              <w:spacing w:after="0" w:line="264"/>
              <w:jc w:val="left"/>
            </w:pPr>
            <w:r>
              <w:rPr>
                <w:b/>
                <w:bCs/>
                <w:i w:val="false"/>
                <w:iCs w:val="false"/>
                <w:color w:val="1F3864"/>
                <w:sz w:val="16"/>
                <w:szCs w:val="16"/>
              </w:rPr>
              <w:t xml:space="preserve">Reviewer / Quality Assurance</w:t>
            </w:r>
          </w:p>
        </w:tc>
        <w:tc>
          <w:tcPr>
            <w:tcW w:type="dxa" w:w="25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9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4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r>
      <w:tr>
        <w:trPr>
          <w:cantSplit/>
          <w:trHeight w:val="500" w:hRule="atLeast"/>
        </w:trPr>
        <w:tc>
          <w:tcPr>
            <w:tcW w:type="dxa" w:w="3000"/>
            <w:shd w:fill="DCE3F1" w:color="auto" w:val="clear"/>
            <w:tcMar>
              <w:top w:type="dxa" w:w="50"/>
              <w:left w:type="dxa" w:w="90"/>
              <w:bottom w:type="dxa" w:w="50"/>
              <w:right w:type="dxa" w:w="90"/>
            </w:tcMar>
            <w:vAlign w:val="top"/>
          </w:tcPr>
          <w:p>
            <w:pPr>
              <w:spacing w:after="0" w:line="264"/>
              <w:jc w:val="left"/>
            </w:pPr>
            <w:r>
              <w:rPr>
                <w:b/>
                <w:bCs/>
                <w:i w:val="false"/>
                <w:iCs w:val="false"/>
                <w:color w:val="1F3864"/>
                <w:sz w:val="16"/>
                <w:szCs w:val="16"/>
              </w:rPr>
              <w:t xml:space="preserve">Approver</w:t>
            </w:r>
          </w:p>
        </w:tc>
        <w:tc>
          <w:tcPr>
            <w:tcW w:type="dxa" w:w="258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9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2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c>
          <w:tcPr>
            <w:tcW w:type="dxa" w:w="1400"/>
            <w:tcMar>
              <w:top w:type="dxa" w:w="50"/>
              <w:left w:type="dxa" w:w="90"/>
              <w:bottom w:type="dxa" w:w="50"/>
              <w:right w:type="dxa" w:w="90"/>
            </w:tcMar>
            <w:vAlign w:val="top"/>
          </w:tcPr>
          <w:p>
            <w:pPr>
              <w:spacing w:after="0" w:line="264"/>
              <w:jc w:val="left"/>
            </w:pPr>
            <w:r>
              <w:rPr>
                <w:b w:val="false"/>
                <w:bCs w:val="false"/>
                <w:i w:val="false"/>
                <w:iCs w:val="false"/>
                <w:color w:val="222222"/>
                <w:sz w:val="16"/>
                <w:szCs w:val="16"/>
              </w:rPr>
              <w:t xml:space="preserve"/>
            </w:r>
          </w:p>
        </w:tc>
      </w:tr>
    </w:tbl>
    <w:p>
      <w:pPr>
        <w:pStyle w:val="Heading1"/>
        <w:pBdr>
          <w:bottom w:val="single" w:color="B4BED4" w:sz="6" w:space="3"/>
        </w:pBdr>
      </w:pPr>
      <w:r>
        <w:t xml:space="preserve">16. Revision History</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150"/>
        <w:gridCol w:w="1700"/>
        <w:gridCol w:w="4930"/>
        <w:gridCol w:w="2300"/>
      </w:tblGrid>
      <w:tr>
        <w:trPr>
          <w:cantSplit/>
          <w:tblHeader/>
        </w:trPr>
        <w:tc>
          <w:tcPr>
            <w:tcW w:type="dxa" w:w="115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Version</w:t>
            </w:r>
          </w:p>
        </w:tc>
        <w:tc>
          <w:tcPr>
            <w:tcW w:type="dxa" w:w="170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Date</w:t>
            </w:r>
          </w:p>
        </w:tc>
        <w:tc>
          <w:tcPr>
            <w:tcW w:type="dxa" w:w="493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Description</w:t>
            </w:r>
          </w:p>
        </w:tc>
        <w:tc>
          <w:tcPr>
            <w:tcW w:type="dxa" w:w="2300"/>
            <w:shd w:fill="1F3864" w:color="auto" w:val="clear"/>
            <w:tcMar>
              <w:top w:type="dxa" w:w="50"/>
              <w:left w:type="dxa" w:w="90"/>
              <w:bottom w:type="dxa" w:w="50"/>
              <w:right w:type="dxa" w:w="90"/>
            </w:tcMar>
            <w:vAlign w:val="center"/>
          </w:tcPr>
          <w:p>
            <w:pPr>
              <w:spacing w:after="0"/>
              <w:jc w:val="left"/>
            </w:pPr>
            <w:r>
              <w:rPr>
                <w:b/>
                <w:bCs/>
                <w:color w:val="FFFFFF"/>
                <w:sz w:val="18"/>
                <w:szCs w:val="18"/>
              </w:rPr>
              <w:t xml:space="preserve">Author</w:t>
            </w:r>
          </w:p>
        </w:tc>
      </w:tr>
      <w:tr>
        <w:trPr>
          <w:cantSplit/>
        </w:trPr>
        <w:tc>
          <w:tcPr>
            <w:tcW w:type="dxa" w:w="115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1.0</w:t>
            </w:r>
          </w:p>
        </w:tc>
        <w:tc>
          <w:tcPr>
            <w:tcW w:type="dxa" w:w="17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September 26, 2026</w:t>
            </w:r>
          </w:p>
        </w:tc>
        <w:tc>
          <w:tcPr>
            <w:tcW w:type="dxa" w:w="493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Initial creation of the Security Logging &amp; Monitoring Control Assessment supporting CTL-008 (CIS Controls CIS 8).</w:t>
            </w:r>
          </w:p>
        </w:tc>
        <w:tc>
          <w:tcPr>
            <w:tcW w:type="dxa" w:w="2300"/>
            <w:tcMar>
              <w:top w:type="dxa" w:w="50"/>
              <w:left w:type="dxa" w:w="90"/>
              <w:bottom w:type="dxa" w:w="50"/>
              <w:right w:type="dxa" w:w="90"/>
            </w:tcMar>
            <w:vAlign w:val="top"/>
          </w:tcPr>
          <w:p>
            <w:pPr>
              <w:spacing w:after="0" w:line="264"/>
              <w:jc w:val="left"/>
            </w:pPr>
            <w:r>
              <w:rPr>
                <w:b w:val="false"/>
                <w:bCs w:val="false"/>
                <w:i w:val="false"/>
                <w:iCs w:val="false"/>
                <w:color w:val="222222"/>
                <w:sz w:val="18"/>
                <w:szCs w:val="18"/>
              </w:rPr>
              <w:t xml:space="preserve">Maxine Jones, GRC Analyst</w:t>
            </w:r>
          </w:p>
        </w:tc>
      </w:tr>
    </w:tbl>
    <w:p>
      <w:pPr>
        <w:spacing w:after="160"/>
      </w:pPr>
      <w:r>
        <w:rPr>
          <w:color w:val="222222"/>
          <w:sz w:val="21"/>
          <w:szCs w:val="21"/>
        </w:rPr>
        <w:t xml:space="preserve"/>
      </w:r>
    </w:p>
    <w:tbl>
      <w:tblPr>
        <w:tblW w:type="dxa" w:w="10080"/>
        <w:tblBorders>
          <w:top w:val="single" w:color="AAB4CC" w:sz="4"/>
          <w:left w:val="single" w:color="AAB4CC" w:sz="4"/>
          <w:bottom w:val="single" w:color="AAB4CC" w:sz="4"/>
          <w:right w:val="single" w:color="AAB4CC" w:sz="4"/>
          <w:insideH w:val="none"/>
          <w:insideV w:val="none"/>
        </w:tblBorders>
        <w:tblLayout w:type="fixed"/>
      </w:tblPr>
      <w:tblGrid>
        <w:gridCol w:w="10080"/>
      </w:tblGrid>
      <w:tr>
        <w:trPr>
          <w:cantSplit/>
        </w:trPr>
        <w:tc>
          <w:tcPr>
            <w:tcW w:type="dxa" w:w="10080"/>
            <w:shd w:fill="E4E8F4" w:color="auto" w:val="clear"/>
            <w:tcMar>
              <w:top w:type="dxa" w:w="120"/>
              <w:left w:type="dxa" w:w="150"/>
              <w:bottom w:type="dxa" w:w="120"/>
              <w:right w:type="dxa" w:w="150"/>
            </w:tcMar>
          </w:tcPr>
          <w:p>
            <w:pPr>
              <w:spacing w:after="0" w:line="276"/>
            </w:pPr>
            <w:r>
              <w:rPr>
                <w:b/>
                <w:bCs/>
                <w:color w:val="2F5496"/>
                <w:sz w:val="18"/>
                <w:szCs w:val="18"/>
              </w:rPr>
              <w:t xml:space="preserve">Portfolio Simulation Disclosure — </w:t>
            </w:r>
            <w:r>
              <w:rPr>
                <w:i/>
                <w:iCs/>
                <w:color w:val="222222"/>
                <w:sz w:val="18"/>
                <w:szCs w:val="18"/>
              </w:rPr>
              <w:t xml:space="preserve">This artifact was created as part of a simulated GRC practice environment for educational and portfolio purposes and does not represent the records or control environment of an actual organization.</w:t>
            </w:r>
          </w:p>
        </w:tc>
      </w:tr>
    </w:tbl>
    <w:sectPr>
      <w:headerReference w:type="default" r:id="rId7"/>
      <w:footerReference w:type="default" r:id="rId8"/>
      <w:pgSz w:w="12240" w:h="15840" w:orient="portrait"/>
      <w:pgMar w:top="1300" w:right="1080" w:bottom="1080" w:left="1080" w:header="68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0"/>
      <w:jc w:val="center"/>
    </w:pPr>
    <w:r>
      <w:rPr>
        <w:color w:val="7F7F7F"/>
        <w:sz w:val="16"/>
        <w:szCs w:val="16"/>
      </w:rPr>
      <w:t xml:space="preserve">MAL-LMA-008   |   Confidential — Internal Use Only   |   Page </w:t>
    </w:r>
    <w:r>
      <w:rPr>
        <w:b/>
        <w:bCs/>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7F7F7F"/>
        <w:sz w:val="16"/>
        <w:szCs w:val="16"/>
      </w:rPr>
      <w:t xml:space="preserve">MindfulAI Labs — Simulated GRC Practice Environment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2F5496"/>
      <w:sz w:val="27"/>
      <w:szCs w:val="27"/>
    </w:rPr>
  </w:style>
  <w:style w:type="paragraph" w:styleId="Heading2">
    <w:name w:val="Heading 2"/>
    <w:basedOn w:val="Normal"/>
    <w:next w:val="Normal"/>
    <w:qFormat/>
    <w:pPr>
      <w:keepNext/>
      <w:spacing w:after="50" w:before="160"/>
      <w:outlineLvl w:val="1"/>
    </w:pPr>
    <w:rPr>
      <w:rFonts w:ascii="Calibri" w:cs="Calibri" w:eastAsia="Calibri" w:hAnsi="Calibri"/>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MAL-LMA-008 Security Logging &amp; Monitoring Control Assessment</dc:title>
  <dc:creator>Maxine Jones, GRC Analyst</dc:creator>
  <dc:description>Simulated GRC portfolio artifact — MindfulAI Labs</dc:description>
  <cp:lastModifiedBy>Un-named</cp:lastModifiedBy>
  <cp:revision>1</cp:revision>
  <dcterms:created xsi:type="dcterms:W3CDTF">2026-09-26T06:49:08.541Z</dcterms:created>
  <dcterms:modified xsi:type="dcterms:W3CDTF">2026-09-26T06:49:08.550Z</dcterms:modified>
</cp:coreProperties>
</file>

<file path=docProps/custom.xml><?xml version="1.0" encoding="utf-8"?>
<Properties xmlns="http://schemas.openxmlformats.org/officeDocument/2006/custom-properties" xmlns:vt="http://schemas.openxmlformats.org/officeDocument/2006/docPropsVTypes"/>
</file>