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276"/>
        <w:jc w:val="left"/>
      </w:pPr>
      <w:r>
        <w:rPr>
          <w:b/>
          <w:bCs/>
          <w:color w:val="2F5496"/>
          <w:sz w:val="26"/>
          <w:szCs w:val="26"/>
        </w:rPr>
        <w:t xml:space="preserve">MindfulAI Labs</w:t>
      </w:r>
    </w:p>
    <w:p>
      <w:pPr>
        <w:spacing w:after="60" w:before="0" w:line="276"/>
        <w:jc w:val="left"/>
      </w:pPr>
      <w:r>
        <w:rPr>
          <w:i/>
          <w:iCs/>
          <w:color w:val="7F7F7F"/>
          <w:sz w:val="19"/>
          <w:szCs w:val="19"/>
        </w:rPr>
        <w:t xml:space="preserve">Simulated GRC Practice Environment</w:t>
      </w:r>
    </w:p>
    <w:p>
      <w:pPr>
        <w:pBdr>
          <w:bottom w:val="single" w:color="1F3864" w:sz="12" w:space="4"/>
        </w:pBdr>
        <w:spacing w:after="40"/>
      </w:pPr>
      <w:r>
        <w:rPr>
          <w:b/>
          <w:bCs/>
          <w:color w:val="1A1A1A"/>
          <w:sz w:val="36"/>
          <w:szCs w:val="36"/>
        </w:rPr>
        <w:t xml:space="preserve">AI Privacy Impact Assessment (DPIA-Aligned)</w:t>
      </w:r>
    </w:p>
    <w:p>
      <w:pPr>
        <w:spacing w:after="220" w:before="40" w:line="276"/>
        <w:jc w:val="left"/>
      </w:pPr>
      <w:r>
        <w:rPr>
          <w:color w:val="7F7F7F"/>
          <w:sz w:val="20"/>
          <w:szCs w:val="20"/>
        </w:rPr>
        <w:t xml:space="preserve">AI Datasets &amp; Processing — CTL-006  ·  GDPR Article 5</w:t>
      </w:r>
    </w:p>
    <w:p>
      <w:pPr>
        <w:pStyle w:val="Heading1"/>
        <w:pBdr>
          <w:bottom w:val="single" w:color="B4BED4" w:sz="6" w:space="3"/>
        </w:pBdr>
      </w:pPr>
      <w:r>
        <w:t xml:space="preserve">1. Document Control</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100"/>
        <w:gridCol w:w="6980"/>
      </w:tblGrid>
      <w:tr>
        <w:trPr>
          <w:cantSplit/>
        </w:trPr>
        <w:tc>
          <w:tcPr>
            <w:tcW w:type="dxa" w:w="31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Document Title</w:t>
            </w:r>
          </w:p>
        </w:tc>
        <w:tc>
          <w:tcPr>
            <w:tcW w:type="dxa" w:w="6980"/>
            <w:tcMar>
              <w:top w:type="dxa" w:w="50"/>
              <w:left w:type="dxa" w:w="90"/>
              <w:bottom w:type="dxa" w:w="50"/>
              <w:right w:type="dxa" w:w="90"/>
            </w:tcMar>
            <w:vAlign w:val="center"/>
          </w:tcPr>
          <w:p>
            <w:pPr>
              <w:spacing w:after="0" w:line="264"/>
            </w:pPr>
            <w:r>
              <w:rPr>
                <w:color w:val="222222"/>
                <w:sz w:val="18"/>
                <w:szCs w:val="18"/>
              </w:rPr>
              <w:t xml:space="preserve">AI Privacy Impact Assessment (DPIA-Aligned) — AI Datasets &amp; Processing</w:t>
            </w:r>
          </w:p>
        </w:tc>
      </w:tr>
      <w:tr>
        <w:trPr>
          <w:cantSplit/>
        </w:trPr>
        <w:tc>
          <w:tcPr>
            <w:tcW w:type="dxa" w:w="31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Document ID</w:t>
            </w:r>
          </w:p>
        </w:tc>
        <w:tc>
          <w:tcPr>
            <w:tcW w:type="dxa" w:w="6980"/>
            <w:tcMar>
              <w:top w:type="dxa" w:w="50"/>
              <w:left w:type="dxa" w:w="90"/>
              <w:bottom w:type="dxa" w:w="50"/>
              <w:right w:type="dxa" w:w="90"/>
            </w:tcMar>
            <w:vAlign w:val="center"/>
          </w:tcPr>
          <w:p>
            <w:pPr>
              <w:spacing w:after="0" w:line="264"/>
            </w:pPr>
            <w:r>
              <w:rPr>
                <w:color w:val="222222"/>
                <w:sz w:val="18"/>
                <w:szCs w:val="18"/>
              </w:rPr>
              <w:t xml:space="preserve">MAL-PIA-006</w:t>
            </w:r>
          </w:p>
        </w:tc>
      </w:tr>
      <w:tr>
        <w:trPr>
          <w:cantSplit/>
        </w:trPr>
        <w:tc>
          <w:tcPr>
            <w:tcW w:type="dxa" w:w="31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Version</w:t>
            </w:r>
          </w:p>
        </w:tc>
        <w:tc>
          <w:tcPr>
            <w:tcW w:type="dxa" w:w="6980"/>
            <w:tcMar>
              <w:top w:type="dxa" w:w="50"/>
              <w:left w:type="dxa" w:w="90"/>
              <w:bottom w:type="dxa" w:w="50"/>
              <w:right w:type="dxa" w:w="90"/>
            </w:tcMar>
            <w:vAlign w:val="center"/>
          </w:tcPr>
          <w:p>
            <w:pPr>
              <w:spacing w:after="0" w:line="264"/>
            </w:pPr>
            <w:r>
              <w:rPr>
                <w:color w:val="222222"/>
                <w:sz w:val="18"/>
                <w:szCs w:val="18"/>
              </w:rPr>
              <w:t xml:space="preserve">1.0</w:t>
            </w:r>
          </w:p>
        </w:tc>
      </w:tr>
      <w:tr>
        <w:trPr>
          <w:cantSplit/>
        </w:trPr>
        <w:tc>
          <w:tcPr>
            <w:tcW w:type="dxa" w:w="31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Classification</w:t>
            </w:r>
          </w:p>
        </w:tc>
        <w:tc>
          <w:tcPr>
            <w:tcW w:type="dxa" w:w="6980"/>
            <w:tcMar>
              <w:top w:type="dxa" w:w="50"/>
              <w:left w:type="dxa" w:w="90"/>
              <w:bottom w:type="dxa" w:w="50"/>
              <w:right w:type="dxa" w:w="90"/>
            </w:tcMar>
            <w:vAlign w:val="center"/>
          </w:tcPr>
          <w:p>
            <w:pPr>
              <w:spacing w:after="0" w:line="264"/>
            </w:pPr>
            <w:r>
              <w:rPr>
                <w:color w:val="222222"/>
                <w:sz w:val="18"/>
                <w:szCs w:val="18"/>
              </w:rPr>
              <w:t xml:space="preserve">Confidential — Internal Use Only</w:t>
            </w:r>
          </w:p>
        </w:tc>
      </w:tr>
      <w:tr>
        <w:trPr>
          <w:cantSplit/>
        </w:trPr>
        <w:tc>
          <w:tcPr>
            <w:tcW w:type="dxa" w:w="31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Control Reference</w:t>
            </w:r>
          </w:p>
        </w:tc>
        <w:tc>
          <w:tcPr>
            <w:tcW w:type="dxa" w:w="6980"/>
            <w:tcMar>
              <w:top w:type="dxa" w:w="50"/>
              <w:left w:type="dxa" w:w="90"/>
              <w:bottom w:type="dxa" w:w="50"/>
              <w:right w:type="dxa" w:w="90"/>
            </w:tcMar>
            <w:vAlign w:val="center"/>
          </w:tcPr>
          <w:p>
            <w:pPr>
              <w:spacing w:after="0" w:line="264"/>
            </w:pPr>
            <w:r>
              <w:rPr>
                <w:color w:val="222222"/>
                <w:sz w:val="18"/>
                <w:szCs w:val="18"/>
              </w:rPr>
              <w:t xml:space="preserve">CTL-006 — AI Dataset Privacy Review &amp; Safeguards</w:t>
            </w:r>
          </w:p>
        </w:tc>
      </w:tr>
      <w:tr>
        <w:trPr>
          <w:cantSplit/>
        </w:trPr>
        <w:tc>
          <w:tcPr>
            <w:tcW w:type="dxa" w:w="31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Framework Mapping</w:t>
            </w:r>
          </w:p>
        </w:tc>
        <w:tc>
          <w:tcPr>
            <w:tcW w:type="dxa" w:w="6980"/>
            <w:tcMar>
              <w:top w:type="dxa" w:w="50"/>
              <w:left w:type="dxa" w:w="90"/>
              <w:bottom w:type="dxa" w:w="50"/>
              <w:right w:type="dxa" w:w="90"/>
            </w:tcMar>
            <w:vAlign w:val="center"/>
          </w:tcPr>
          <w:p>
            <w:pPr>
              <w:spacing w:after="0" w:line="264"/>
            </w:pPr>
            <w:r>
              <w:rPr>
                <w:color w:val="222222"/>
                <w:sz w:val="18"/>
                <w:szCs w:val="18"/>
              </w:rPr>
              <w:t xml:space="preserve">GDPR Article 5 (assessment aligned to Art.35 DPIA methodology)</w:t>
            </w:r>
          </w:p>
        </w:tc>
      </w:tr>
      <w:tr>
        <w:trPr>
          <w:cantSplit/>
        </w:trPr>
        <w:tc>
          <w:tcPr>
            <w:tcW w:type="dxa" w:w="31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Control Owner</w:t>
            </w:r>
          </w:p>
        </w:tc>
        <w:tc>
          <w:tcPr>
            <w:tcW w:type="dxa" w:w="6980"/>
            <w:tcMar>
              <w:top w:type="dxa" w:w="50"/>
              <w:left w:type="dxa" w:w="90"/>
              <w:bottom w:type="dxa" w:w="50"/>
              <w:right w:type="dxa" w:w="90"/>
            </w:tcMar>
            <w:vAlign w:val="center"/>
          </w:tcPr>
          <w:p>
            <w:pPr>
              <w:spacing w:after="0" w:line="264"/>
            </w:pPr>
            <w:r>
              <w:rPr>
                <w:color w:val="222222"/>
                <w:sz w:val="18"/>
                <w:szCs w:val="18"/>
              </w:rPr>
              <w:t xml:space="preserve">Privacy and Compliance Team</w:t>
            </w:r>
          </w:p>
        </w:tc>
      </w:tr>
      <w:tr>
        <w:trPr>
          <w:cantSplit/>
        </w:trPr>
        <w:tc>
          <w:tcPr>
            <w:tcW w:type="dxa" w:w="31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In-Scope Assets</w:t>
            </w:r>
          </w:p>
        </w:tc>
        <w:tc>
          <w:tcPr>
            <w:tcW w:type="dxa" w:w="6980"/>
            <w:tcMar>
              <w:top w:type="dxa" w:w="50"/>
              <w:left w:type="dxa" w:w="90"/>
              <w:bottom w:type="dxa" w:w="50"/>
              <w:right w:type="dxa" w:w="90"/>
            </w:tcMar>
            <w:vAlign w:val="center"/>
          </w:tcPr>
          <w:p>
            <w:pPr>
              <w:spacing w:after="0" w:line="264"/>
            </w:pPr>
            <w:r>
              <w:rPr>
                <w:color w:val="222222"/>
                <w:sz w:val="18"/>
                <w:szCs w:val="18"/>
              </w:rPr>
              <w:t xml:space="preserve">AST-002 (primary AI dataset); AST-001 &amp; AST-009 (clinical processing stream)</w:t>
            </w:r>
          </w:p>
        </w:tc>
      </w:tr>
      <w:tr>
        <w:trPr>
          <w:cantSplit/>
        </w:trPr>
        <w:tc>
          <w:tcPr>
            <w:tcW w:type="dxa" w:w="31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Prepared By</w:t>
            </w:r>
          </w:p>
        </w:tc>
        <w:tc>
          <w:tcPr>
            <w:tcW w:type="dxa" w:w="6980"/>
            <w:tcMar>
              <w:top w:type="dxa" w:w="50"/>
              <w:left w:type="dxa" w:w="90"/>
              <w:bottom w:type="dxa" w:w="50"/>
              <w:right w:type="dxa" w:w="90"/>
            </w:tcMar>
            <w:vAlign w:val="center"/>
          </w:tcPr>
          <w:p>
            <w:pPr>
              <w:spacing w:after="0" w:line="264"/>
            </w:pPr>
            <w:r>
              <w:rPr>
                <w:color w:val="222222"/>
                <w:sz w:val="18"/>
                <w:szCs w:val="18"/>
              </w:rPr>
              <w:t xml:space="preserve">Maxine Jones, GRC Analyst</w:t>
            </w:r>
          </w:p>
        </w:tc>
      </w:tr>
      <w:tr>
        <w:trPr>
          <w:cantSplit/>
        </w:trPr>
        <w:tc>
          <w:tcPr>
            <w:tcW w:type="dxa" w:w="31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Assessment Period</w:t>
            </w:r>
          </w:p>
        </w:tc>
        <w:tc>
          <w:tcPr>
            <w:tcW w:type="dxa" w:w="6980"/>
            <w:tcMar>
              <w:top w:type="dxa" w:w="50"/>
              <w:left w:type="dxa" w:w="90"/>
              <w:bottom w:type="dxa" w:w="50"/>
              <w:right w:type="dxa" w:w="90"/>
            </w:tcMar>
            <w:vAlign w:val="center"/>
          </w:tcPr>
          <w:p>
            <w:pPr>
              <w:spacing w:after="0" w:line="264"/>
            </w:pPr>
            <w:r>
              <w:rPr>
                <w:color w:val="222222"/>
                <w:sz w:val="18"/>
                <w:szCs w:val="18"/>
              </w:rPr>
              <w:t xml:space="preserve">Q3 2026</w:t>
            </w:r>
          </w:p>
        </w:tc>
      </w:tr>
      <w:tr>
        <w:trPr>
          <w:cantSplit/>
        </w:trPr>
        <w:tc>
          <w:tcPr>
            <w:tcW w:type="dxa" w:w="31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Assessment Date</w:t>
            </w:r>
          </w:p>
        </w:tc>
        <w:tc>
          <w:tcPr>
            <w:tcW w:type="dxa" w:w="6980"/>
            <w:tcMar>
              <w:top w:type="dxa" w:w="50"/>
              <w:left w:type="dxa" w:w="90"/>
              <w:bottom w:type="dxa" w:w="50"/>
              <w:right w:type="dxa" w:w="90"/>
            </w:tcMar>
            <w:vAlign w:val="center"/>
          </w:tcPr>
          <w:p>
            <w:pPr>
              <w:spacing w:after="0" w:line="264"/>
            </w:pPr>
            <w:r>
              <w:rPr>
                <w:color w:val="222222"/>
                <w:sz w:val="18"/>
                <w:szCs w:val="18"/>
              </w:rPr>
              <w:t xml:space="preserve">______________________  </w:t>
            </w:r>
            <w:r>
              <w:rPr>
                <w:color w:val="7F7F7F"/>
                <w:sz w:val="18"/>
                <w:szCs w:val="18"/>
              </w:rPr>
              <w:t xml:space="preserve">(within Q3 2026 assessment period)</w:t>
            </w:r>
          </w:p>
        </w:tc>
      </w:tr>
      <w:tr>
        <w:trPr>
          <w:cantSplit/>
        </w:trPr>
        <w:tc>
          <w:tcPr>
            <w:tcW w:type="dxa" w:w="31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Assessment Frequency (Control)</w:t>
            </w:r>
          </w:p>
        </w:tc>
        <w:tc>
          <w:tcPr>
            <w:tcW w:type="dxa" w:w="6980"/>
            <w:tcMar>
              <w:top w:type="dxa" w:w="50"/>
              <w:left w:type="dxa" w:w="90"/>
              <w:bottom w:type="dxa" w:w="50"/>
              <w:right w:type="dxa" w:w="90"/>
            </w:tcMar>
            <w:vAlign w:val="center"/>
          </w:tcPr>
          <w:p>
            <w:pPr>
              <w:spacing w:after="0" w:line="264"/>
            </w:pPr>
            <w:r>
              <w:rPr>
                <w:color w:val="222222"/>
                <w:sz w:val="18"/>
                <w:szCs w:val="18"/>
              </w:rPr>
              <w:t xml:space="preserve">Quarterly</w:t>
            </w:r>
          </w:p>
        </w:tc>
      </w:tr>
      <w:tr>
        <w:trPr>
          <w:cantSplit/>
        </w:trPr>
        <w:tc>
          <w:tcPr>
            <w:tcW w:type="dxa" w:w="31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Status</w:t>
            </w:r>
          </w:p>
        </w:tc>
        <w:tc>
          <w:tcPr>
            <w:tcW w:type="dxa" w:w="6980"/>
            <w:tcMar>
              <w:top w:type="dxa" w:w="50"/>
              <w:left w:type="dxa" w:w="90"/>
              <w:bottom w:type="dxa" w:w="50"/>
              <w:right w:type="dxa" w:w="90"/>
            </w:tcMar>
            <w:vAlign w:val="center"/>
          </w:tcPr>
          <w:p>
            <w:pPr>
              <w:spacing w:after="0" w:line="264"/>
            </w:pPr>
            <w:r>
              <w:rPr>
                <w:color w:val="222222"/>
                <w:sz w:val="18"/>
                <w:szCs w:val="18"/>
              </w:rPr>
              <w:t xml:space="preserve">Final — Portfolio Simulation</w:t>
            </w:r>
          </w:p>
        </w:tc>
      </w:tr>
      <w:tr>
        <w:trPr>
          <w:cantSplit/>
        </w:trPr>
        <w:tc>
          <w:tcPr>
            <w:tcW w:type="dxa" w:w="31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Overall Effectiveness Conclusion</w:t>
            </w:r>
          </w:p>
        </w:tc>
        <w:tc>
          <w:tcPr>
            <w:tcW w:type="dxa" w:w="6980"/>
            <w:tcMar>
              <w:top w:type="dxa" w:w="50"/>
              <w:left w:type="dxa" w:w="90"/>
              <w:bottom w:type="dxa" w:w="50"/>
              <w:right w:type="dxa" w:w="90"/>
            </w:tcMar>
            <w:vAlign w:val="center"/>
          </w:tcPr>
          <w:p>
            <w:pPr>
              <w:spacing w:after="0" w:line="264"/>
            </w:pPr>
            <w:r>
              <w:rPr>
                <w:b/>
                <w:bCs/>
                <w:color w:val="222222"/>
                <w:sz w:val="18"/>
                <w:szCs w:val="18"/>
              </w:rPr>
              <w:t xml:space="preserve">Partially Effective</w:t>
            </w:r>
          </w:p>
        </w:tc>
      </w:tr>
    </w:tbl>
    <w:p>
      <w:pPr>
        <w:pStyle w:val="Heading1"/>
        <w:pBdr>
          <w:bottom w:val="single" w:color="B4BED4" w:sz="6" w:space="3"/>
        </w:pBdr>
      </w:pPr>
      <w:r>
        <w:t xml:space="preserve">2. Purpose</w:t>
      </w:r>
    </w:p>
    <w:p>
      <w:pPr>
        <w:spacing w:after="120" w:before="0" w:line="276"/>
        <w:jc w:val="left"/>
      </w:pPr>
      <w:r>
        <w:rPr>
          <w:color w:val="222222"/>
          <w:sz w:val="21"/>
          <w:szCs w:val="21"/>
        </w:rPr>
        <w:t xml:space="preserve">This assessment evaluates the control that reviews AI datasets for unnecessary personal information and applies privacy safeguards before processing, in support of CTL-006 (GDPR Article 5). It examines whether personal data used by the in-scope AI datasets and processing streams is minimized, safeguarded, and retained in line with the Article 5 principles, on the control’s defined quarterly frequency. The control is owned by the Privacy and Compliance Team. The assessment is structured to the elements of a GDPR Article 35 Data Protection Impact Assessment (processing description, necessity and proportionality, risks to data subjects, and safeguards).</w:t>
      </w:r>
    </w:p>
    <w:p>
      <w:pPr>
        <w:spacing w:after="120" w:before="0" w:line="276"/>
        <w:jc w:val="left"/>
      </w:pPr>
      <w:r>
        <w:rPr>
          <w:b/>
          <w:bCs/>
          <w:color w:val="222222"/>
          <w:sz w:val="21"/>
          <w:szCs w:val="21"/>
        </w:rPr>
        <w:t xml:space="preserve">DPIA-aligned, not a formal DPIA. </w:t>
      </w:r>
      <w:r>
        <w:rPr>
          <w:color w:val="222222"/>
          <w:sz w:val="21"/>
          <w:szCs w:val="21"/>
        </w:rPr>
        <w:t xml:space="preserve">This document demonstrates DPIA methodology for portfolio purposes. It is not a legally required Data Protection Impact Assessment and has not been formally approved by a Data Protection Officer or supervisory authority.</w:t>
      </w:r>
    </w:p>
    <w:p>
      <w:pPr>
        <w:spacing w:after="120" w:before="0" w:line="276"/>
        <w:jc w:val="left"/>
      </w:pPr>
      <w:r>
        <w:rPr>
          <w:b/>
          <w:bCs/>
          <w:i/>
          <w:iCs/>
          <w:color w:val="222222"/>
          <w:sz w:val="21"/>
          <w:szCs w:val="21"/>
        </w:rPr>
        <w:t xml:space="preserve">All results recorded in this assessment are simulated, illustrative outcomes produced for a portfolio artifact.</w:t>
      </w:r>
      <w:r>
        <w:rPr>
          <w:i/>
          <w:iCs/>
          <w:color w:val="222222"/>
          <w:sz w:val="21"/>
          <w:szCs w:val="21"/>
        </w:rPr>
        <w:t xml:space="preserve"> They are not derived from an actual data inventory, field-level review, configuration inspection, records of processing, or approved DPIA, and no production system or dataset was accessed.</w:t>
      </w:r>
    </w:p>
    <w:p>
      <w:pPr>
        <w:pStyle w:val="Heading1"/>
        <w:pBdr>
          <w:bottom w:val="single" w:color="B4BED4" w:sz="6" w:space="3"/>
        </w:pBdr>
      </w:pPr>
      <w:r>
        <w:t xml:space="preserve">3. Scope</w:t>
      </w:r>
    </w:p>
    <w:p>
      <w:pPr>
        <w:spacing w:after="120" w:before="0" w:line="276"/>
        <w:jc w:val="left"/>
      </w:pPr>
      <w:r>
        <w:rPr>
          <w:b/>
          <w:bCs/>
          <w:color w:val="222222"/>
          <w:sz w:val="21"/>
          <w:szCs w:val="21"/>
        </w:rPr>
        <w:t xml:space="preserve">In scope. </w:t>
      </w:r>
      <w:r>
        <w:rPr>
          <w:color w:val="222222"/>
          <w:sz w:val="21"/>
          <w:szCs w:val="21"/>
        </w:rPr>
        <w:t xml:space="preserve">The assessment covers two distinct processing streams. They are kept separate throughout this document; the assessment does not represent that AST-002 contains clinical data or that AST-009 is an AI training dataset.</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250"/>
        <w:gridCol w:w="2500"/>
        <w:gridCol w:w="2530"/>
        <w:gridCol w:w="2600"/>
        <w:gridCol w:w="1200"/>
      </w:tblGrid>
      <w:tr>
        <w:trPr>
          <w:cantSplit/>
          <w:tblHeader/>
        </w:trPr>
        <w:tc>
          <w:tcPr>
            <w:tcW w:type="dxa" w:w="125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Stream</w:t>
            </w:r>
          </w:p>
        </w:tc>
        <w:tc>
          <w:tcPr>
            <w:tcW w:type="dxa" w:w="250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System(s)</w:t>
            </w:r>
          </w:p>
        </w:tc>
        <w:tc>
          <w:tcPr>
            <w:tcW w:type="dxa" w:w="253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Processing Purpose</w:t>
            </w:r>
          </w:p>
        </w:tc>
        <w:tc>
          <w:tcPr>
            <w:tcW w:type="dxa" w:w="260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Personal-Data Category (scenario)</w:t>
            </w:r>
          </w:p>
        </w:tc>
        <w:tc>
          <w:tcPr>
            <w:tcW w:type="dxa" w:w="120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Env</w:t>
            </w:r>
          </w:p>
        </w:tc>
      </w:tr>
      <w:tr>
        <w:trPr>
          <w:cantSplit/>
        </w:trPr>
        <w:tc>
          <w:tcPr>
            <w:tcW w:type="dxa" w:w="125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A — Financial training data</w:t>
            </w:r>
          </w:p>
        </w:tc>
        <w:tc>
          <w:tcPr>
            <w:tcW w:type="dxa" w:w="25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AST-002 — Financial Risk Training Data Repository</w:t>
            </w:r>
          </w:p>
        </w:tc>
        <w:tc>
          <w:tcPr>
            <w:tcW w:type="dxa" w:w="253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Curation of financial-risk training data for AI model development</w:t>
            </w:r>
          </w:p>
        </w:tc>
        <w:tc>
          <w:tcPr>
            <w:tcW w:type="dxa" w:w="26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Personal financial / customer information (non-special-category)</w:t>
            </w:r>
          </w:p>
        </w:tc>
        <w:tc>
          <w:tcPr>
            <w:tcW w:type="dxa" w:w="12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Production</w:t>
            </w:r>
          </w:p>
        </w:tc>
      </w:tr>
      <w:tr>
        <w:trPr>
          <w:cantSplit/>
        </w:trPr>
        <w:tc>
          <w:tcPr>
            <w:tcW w:type="dxa" w:w="125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B — Clinical decision support</w:t>
            </w:r>
          </w:p>
        </w:tc>
        <w:tc>
          <w:tcPr>
            <w:tcW w:type="dxa" w:w="25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AST-001 — Clinical Diagnostic AI Model; AST-009 — Clinical AI Backup Repository</w:t>
            </w:r>
          </w:p>
        </w:tc>
        <w:tc>
          <w:tcPr>
            <w:tcW w:type="dxa" w:w="253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Processing of patient health data for diagnostic decision support; DR backup of clinical data</w:t>
            </w:r>
          </w:p>
        </w:tc>
        <w:tc>
          <w:tcPr>
            <w:tcW w:type="dxa" w:w="26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Special-category health data (GDPR Art.9)</w:t>
            </w:r>
          </w:p>
        </w:tc>
        <w:tc>
          <w:tcPr>
            <w:tcW w:type="dxa" w:w="12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Production / DR</w:t>
            </w:r>
          </w:p>
        </w:tc>
      </w:tr>
    </w:tbl>
    <w:p>
      <w:pPr>
        <w:spacing w:after="120" w:before="60" w:line="276"/>
        <w:jc w:val="left"/>
      </w:pPr>
      <w:r>
        <w:rPr>
          <w:i/>
          <w:iCs/>
          <w:color w:val="7F7F7F"/>
          <w:sz w:val="18"/>
          <w:szCs w:val="18"/>
        </w:rPr>
        <w:t xml:space="preserve">Personal-data categories are described at the scenario level from the source asset records (AST-001’s source description establishes that it processes sensitive patient health data). A field-level data inventory is not included and is listed in Section 15 as Evidence Required — Not Provided.</w:t>
      </w:r>
    </w:p>
    <w:p>
      <w:pPr>
        <w:spacing w:after="120" w:before="40" w:line="276"/>
        <w:jc w:val="left"/>
      </w:pPr>
      <w:r>
        <w:rPr>
          <w:b/>
          <w:bCs/>
          <w:color w:val="222222"/>
          <w:sz w:val="21"/>
          <w:szCs w:val="21"/>
        </w:rPr>
        <w:t xml:space="preserve">Out of scope. </w:t>
      </w:r>
      <w:r>
        <w:rPr>
          <w:color w:val="222222"/>
          <w:sz w:val="21"/>
          <w:szCs w:val="21"/>
        </w:rPr>
        <w:t xml:space="preserve">Non-production environments not listed above; model bias and accuracy (addressed separately); access-control operation (addressed under CTL-002 — User Access Review); and datasets or systems not enumerated above.</w:t>
      </w:r>
    </w:p>
    <w:p>
      <w:pPr>
        <w:spacing w:after="120" w:before="40" w:line="276"/>
        <w:jc w:val="left"/>
      </w:pPr>
      <w:r>
        <w:rPr>
          <w:i/>
          <w:iCs/>
          <w:color w:val="7F7F7F"/>
          <w:sz w:val="18"/>
          <w:szCs w:val="18"/>
        </w:rPr>
        <w:t xml:space="preserve">Asset identifiers use the project’s normalized register scheme (AST-001, AST-002, AST-009); asset names, types, classifications, environments, and owners are source/project data.</w:t>
      </w:r>
    </w:p>
    <w:p>
      <w:pPr>
        <w:pStyle w:val="Heading1"/>
        <w:pBdr>
          <w:bottom w:val="single" w:color="B4BED4" w:sz="6" w:space="3"/>
        </w:pBdr>
      </w:pPr>
      <w:r>
        <w:t xml:space="preserve">4. Control Reference &amp; Framework Mapping</w:t>
      </w:r>
    </w:p>
    <w:p>
      <w:pPr>
        <w:spacing w:after="120" w:before="0" w:line="276"/>
        <w:jc w:val="left"/>
      </w:pPr>
      <w:r>
        <w:rPr>
          <w:b/>
          <w:bCs/>
          <w:color w:val="222222"/>
          <w:sz w:val="21"/>
          <w:szCs w:val="21"/>
        </w:rPr>
        <w:t xml:space="preserve">Control as recorded in the MindfulAI Labs Control Register (source/project data):</w:t>
      </w:r>
    </w:p>
    <w:p>
      <w:pPr>
        <w:pStyle w:val="ListParagraph"/>
        <w:numPr>
          <w:ilvl w:val="0"/>
          <w:numId w:val="1"/>
        </w:numPr>
        <w:spacing w:after="60" w:line="276"/>
      </w:pPr>
      <w:r>
        <w:rPr>
          <w:b/>
          <w:bCs/>
          <w:color w:val="222222"/>
          <w:sz w:val="21"/>
          <w:szCs w:val="21"/>
        </w:rPr>
        <w:t xml:space="preserve">Control name: </w:t>
      </w:r>
      <w:r>
        <w:rPr>
          <w:color w:val="222222"/>
          <w:sz w:val="21"/>
          <w:szCs w:val="21"/>
        </w:rPr>
        <w:t xml:space="preserve">Review AI datasets for unnecessary personal information and apply privacy safeguards before processing</w:t>
      </w:r>
    </w:p>
    <w:p>
      <w:pPr>
        <w:pStyle w:val="ListParagraph"/>
        <w:numPr>
          <w:ilvl w:val="0"/>
          <w:numId w:val="1"/>
        </w:numPr>
        <w:spacing w:after="60" w:line="276"/>
      </w:pPr>
      <w:r>
        <w:rPr>
          <w:b/>
          <w:bCs/>
          <w:color w:val="222222"/>
          <w:sz w:val="21"/>
          <w:szCs w:val="21"/>
        </w:rPr>
        <w:t xml:space="preserve">Framework reference: </w:t>
      </w:r>
      <w:r>
        <w:rPr>
          <w:color w:val="222222"/>
          <w:sz w:val="21"/>
          <w:szCs w:val="21"/>
        </w:rPr>
        <w:t xml:space="preserve">GDPR — Art.5</w:t>
      </w:r>
    </w:p>
    <w:p>
      <w:pPr>
        <w:pStyle w:val="ListParagraph"/>
        <w:numPr>
          <w:ilvl w:val="0"/>
          <w:numId w:val="1"/>
        </w:numPr>
        <w:spacing w:after="60" w:line="276"/>
      </w:pPr>
      <w:r>
        <w:rPr>
          <w:b/>
          <w:bCs/>
          <w:color w:val="222222"/>
          <w:sz w:val="21"/>
          <w:szCs w:val="21"/>
        </w:rPr>
        <w:t xml:space="preserve">Effectiveness rating: </w:t>
      </w:r>
      <w:r>
        <w:rPr>
          <w:color w:val="222222"/>
          <w:sz w:val="21"/>
          <w:szCs w:val="21"/>
        </w:rPr>
        <w:t xml:space="preserve">Partially Effective</w:t>
      </w:r>
    </w:p>
    <w:p>
      <w:pPr>
        <w:pStyle w:val="ListParagraph"/>
        <w:numPr>
          <w:ilvl w:val="0"/>
          <w:numId w:val="1"/>
        </w:numPr>
        <w:spacing w:after="60" w:line="276"/>
      </w:pPr>
      <w:r>
        <w:rPr>
          <w:b/>
          <w:bCs/>
          <w:color w:val="222222"/>
          <w:sz w:val="21"/>
          <w:szCs w:val="21"/>
        </w:rPr>
        <w:t xml:space="preserve">Assessment frequency: </w:t>
      </w:r>
      <w:r>
        <w:rPr>
          <w:color w:val="222222"/>
          <w:sz w:val="21"/>
          <w:szCs w:val="21"/>
        </w:rPr>
        <w:t xml:space="preserve">Quarterly</w:t>
      </w:r>
    </w:p>
    <w:p>
      <w:pPr>
        <w:pStyle w:val="ListParagraph"/>
        <w:numPr>
          <w:ilvl w:val="0"/>
          <w:numId w:val="1"/>
        </w:numPr>
        <w:spacing w:after="60" w:line="276"/>
      </w:pPr>
      <w:r>
        <w:rPr>
          <w:b/>
          <w:bCs/>
          <w:color w:val="222222"/>
          <w:sz w:val="21"/>
          <w:szCs w:val="21"/>
        </w:rPr>
        <w:t xml:space="preserve">Control owner: </w:t>
      </w:r>
      <w:r>
        <w:rPr>
          <w:color w:val="222222"/>
          <w:sz w:val="21"/>
          <w:szCs w:val="21"/>
        </w:rPr>
        <w:t xml:space="preserve">Privacy and Compliance Team</w:t>
      </w:r>
    </w:p>
    <w:p>
      <w:pPr>
        <w:pStyle w:val="ListParagraph"/>
        <w:numPr>
          <w:ilvl w:val="0"/>
          <w:numId w:val="1"/>
        </w:numPr>
        <w:spacing w:after="60" w:line="276"/>
      </w:pPr>
      <w:r>
        <w:rPr>
          <w:b/>
          <w:bCs/>
          <w:color w:val="222222"/>
          <w:sz w:val="21"/>
          <w:szCs w:val="21"/>
        </w:rPr>
        <w:t xml:space="preserve">Control identifier: </w:t>
      </w:r>
      <w:r>
        <w:rPr>
          <w:color w:val="222222"/>
          <w:sz w:val="21"/>
          <w:szCs w:val="21"/>
        </w:rPr>
        <w:t xml:space="preserve">assigned as CTL-006 under the project’s normalized ID scheme; the source register did not expose an internal identifier. Description, rationale, and detailed framework references remain not exposed in source (null) and were not invented for this document.</w:t>
      </w:r>
    </w:p>
    <w:p>
      <w:pPr>
        <w:spacing w:after="120" w:before="0" w:line="276"/>
        <w:jc w:val="left"/>
      </w:pPr>
      <w:r>
        <w:rPr>
          <w:b/>
          <w:bCs/>
          <w:color w:val="222222"/>
          <w:sz w:val="21"/>
          <w:szCs w:val="21"/>
        </w:rPr>
        <w:t xml:space="preserve">Supplemental framework mapping (portfolio-developed). </w:t>
      </w:r>
      <w:r>
        <w:rPr>
          <w:color w:val="222222"/>
          <w:sz w:val="21"/>
          <w:szCs w:val="21"/>
        </w:rPr>
        <w:t xml:space="preserve">The source register maps this control to GDPR Art.5. To show how the control’s requirements align to the specific Article 5 principles and related provisions, the following mapping was developed for portfolio purposes; only “Art.5” is contained in the source register.</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350"/>
        <w:gridCol w:w="5030"/>
        <w:gridCol w:w="1500"/>
        <w:gridCol w:w="2200"/>
      </w:tblGrid>
      <w:tr>
        <w:trPr>
          <w:cantSplit/>
          <w:tblHeader/>
        </w:trPr>
        <w:tc>
          <w:tcPr>
            <w:tcW w:type="dxa" w:w="135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GDPR Reference</w:t>
            </w:r>
          </w:p>
        </w:tc>
        <w:tc>
          <w:tcPr>
            <w:tcW w:type="dxa" w:w="503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Provision (abbreviated)</w:t>
            </w:r>
          </w:p>
        </w:tc>
        <w:tc>
          <w:tcPr>
            <w:tcW w:type="dxa" w:w="150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Origin</w:t>
            </w:r>
          </w:p>
        </w:tc>
        <w:tc>
          <w:tcPr>
            <w:tcW w:type="dxa" w:w="220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Addressed in</w:t>
            </w:r>
          </w:p>
        </w:tc>
      </w:tr>
      <w:tr>
        <w:trPr>
          <w:cantSplit/>
        </w:trPr>
        <w:tc>
          <w:tcPr>
            <w:tcW w:type="dxa" w:w="135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Art.5(1)</w:t>
            </w:r>
          </w:p>
        </w:tc>
        <w:tc>
          <w:tcPr>
            <w:tcW w:type="dxa" w:w="503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Principles: lawfulness/fairness/transparency, purpose limitation, data minimization, accuracy, storage limitation, integrity &amp; confidentiality</w:t>
            </w:r>
          </w:p>
        </w:tc>
        <w:tc>
          <w:tcPr>
            <w:tcW w:type="dxa" w:w="15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Source</w:t>
            </w:r>
          </w:p>
        </w:tc>
        <w:tc>
          <w:tcPr>
            <w:tcW w:type="dxa" w:w="22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§9</w:t>
            </w:r>
          </w:p>
        </w:tc>
      </w:tr>
      <w:tr>
        <w:trPr>
          <w:cantSplit/>
        </w:trPr>
        <w:tc>
          <w:tcPr>
            <w:tcW w:type="dxa" w:w="135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Art.5(2)</w:t>
            </w:r>
          </w:p>
        </w:tc>
        <w:tc>
          <w:tcPr>
            <w:tcW w:type="dxa" w:w="503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Accountability</w:t>
            </w:r>
          </w:p>
        </w:tc>
        <w:tc>
          <w:tcPr>
            <w:tcW w:type="dxa" w:w="15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Supplemental</w:t>
            </w:r>
          </w:p>
        </w:tc>
        <w:tc>
          <w:tcPr>
            <w:tcW w:type="dxa" w:w="22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§9</w:t>
            </w:r>
          </w:p>
        </w:tc>
      </w:tr>
      <w:tr>
        <w:trPr>
          <w:cantSplit/>
        </w:trPr>
        <w:tc>
          <w:tcPr>
            <w:tcW w:type="dxa" w:w="135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Art.25</w:t>
            </w:r>
          </w:p>
        </w:tc>
        <w:tc>
          <w:tcPr>
            <w:tcW w:type="dxa" w:w="503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Data protection by design and by default</w:t>
            </w:r>
          </w:p>
        </w:tc>
        <w:tc>
          <w:tcPr>
            <w:tcW w:type="dxa" w:w="15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Supplemental</w:t>
            </w:r>
          </w:p>
        </w:tc>
        <w:tc>
          <w:tcPr>
            <w:tcW w:type="dxa" w:w="22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§9, §12</w:t>
            </w:r>
          </w:p>
        </w:tc>
      </w:tr>
      <w:tr>
        <w:trPr>
          <w:cantSplit/>
        </w:trPr>
        <w:tc>
          <w:tcPr>
            <w:tcW w:type="dxa" w:w="135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Art.32</w:t>
            </w:r>
          </w:p>
        </w:tc>
        <w:tc>
          <w:tcPr>
            <w:tcW w:type="dxa" w:w="503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Security of processing (safeguards)</w:t>
            </w:r>
          </w:p>
        </w:tc>
        <w:tc>
          <w:tcPr>
            <w:tcW w:type="dxa" w:w="15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Supplemental</w:t>
            </w:r>
          </w:p>
        </w:tc>
        <w:tc>
          <w:tcPr>
            <w:tcW w:type="dxa" w:w="22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§9 (PRV-02)</w:t>
            </w:r>
          </w:p>
        </w:tc>
      </w:tr>
      <w:tr>
        <w:trPr>
          <w:cantSplit/>
        </w:trPr>
        <w:tc>
          <w:tcPr>
            <w:tcW w:type="dxa" w:w="135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Art.35</w:t>
            </w:r>
          </w:p>
        </w:tc>
        <w:tc>
          <w:tcPr>
            <w:tcW w:type="dxa" w:w="503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Data Protection Impact Assessment (methodology alignment)</w:t>
            </w:r>
          </w:p>
        </w:tc>
        <w:tc>
          <w:tcPr>
            <w:tcW w:type="dxa" w:w="15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Supplemental</w:t>
            </w:r>
          </w:p>
        </w:tc>
        <w:tc>
          <w:tcPr>
            <w:tcW w:type="dxa" w:w="22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Whole assessment</w:t>
            </w:r>
          </w:p>
        </w:tc>
      </w:tr>
    </w:tbl>
    <w:p>
      <w:pPr>
        <w:pStyle w:val="Heading1"/>
        <w:pBdr>
          <w:bottom w:val="single" w:color="B4BED4" w:sz="6" w:space="3"/>
        </w:pBdr>
      </w:pPr>
      <w:r>
        <w:t xml:space="preserve">5. Linked Register Risk &amp; Coverage Gap</w:t>
      </w:r>
    </w:p>
    <w:p>
      <w:pPr>
        <w:spacing w:after="120" w:before="0" w:line="276"/>
        <w:jc w:val="left"/>
      </w:pPr>
      <w:r>
        <w:rPr>
          <w:b/>
          <w:bCs/>
          <w:color w:val="222222"/>
          <w:sz w:val="21"/>
          <w:szCs w:val="21"/>
        </w:rPr>
        <w:t xml:space="preserve">Related register risks (imperfect mapping). </w:t>
      </w:r>
      <w:r>
        <w:rPr>
          <w:color w:val="222222"/>
          <w:sz w:val="21"/>
          <w:szCs w:val="21"/>
        </w:rPr>
        <w:t xml:space="preserve">The Risk Register does not contain a risk that maps one-to-one to the data-minimization / unnecessary-personal-data exposure this control addresses. Each processing stream is mapped to its nearest “Data Protection”–category risk, with the fit limitation stated explicitly:</w:t>
      </w:r>
    </w:p>
    <w:p>
      <w:pPr>
        <w:pStyle w:val="ListParagraph"/>
        <w:numPr>
          <w:ilvl w:val="0"/>
          <w:numId w:val="1"/>
        </w:numPr>
        <w:spacing w:after="60" w:line="276"/>
      </w:pPr>
      <w:r>
        <w:rPr>
          <w:b/>
          <w:bCs/>
          <w:color w:val="222222"/>
          <w:sz w:val="21"/>
          <w:szCs w:val="21"/>
        </w:rPr>
        <w:t xml:space="preserve">Stream A (AST-002) → RSK-002</w:t>
      </w:r>
      <w:r>
        <w:rPr>
          <w:color w:val="222222"/>
          <w:sz w:val="21"/>
          <w:szCs w:val="21"/>
        </w:rPr>
        <w:t xml:space="preserve"> — “Unauthorized user exploits inadequate data access restrictions causing sensitive data exposure to Financial Risk Training Data Repository” (Data Protection; Likelihood 3 / Impact 4; Open; Data Science Team). </w:t>
      </w:r>
      <w:r>
        <w:rPr>
          <w:b/>
          <w:bCs/>
          <w:color w:val="222222"/>
          <w:sz w:val="21"/>
          <w:szCs w:val="21"/>
        </w:rPr>
        <w:t xml:space="preserve">Limitation: </w:t>
      </w:r>
      <w:r>
        <w:rPr>
          <w:color w:val="222222"/>
          <w:sz w:val="21"/>
          <w:szCs w:val="21"/>
        </w:rPr>
        <w:t xml:space="preserve">this is a confidentiality/access-exposure risk (already the linked risk for CTL-002 — User Access Review); it does not capture unnecessary-personal-data retention or data-minimization non-compliance.</w:t>
      </w:r>
    </w:p>
    <w:p>
      <w:pPr>
        <w:pStyle w:val="ListParagraph"/>
        <w:numPr>
          <w:ilvl w:val="0"/>
          <w:numId w:val="1"/>
        </w:numPr>
        <w:spacing w:after="60" w:line="276"/>
      </w:pPr>
      <w:r>
        <w:rPr>
          <w:b/>
          <w:bCs/>
          <w:color w:val="222222"/>
          <w:sz w:val="21"/>
          <w:szCs w:val="21"/>
        </w:rPr>
        <w:t xml:space="preserve">Stream B (AST-001 / AST-009) → RSK-008</w:t>
      </w:r>
      <w:r>
        <w:rPr>
          <w:color w:val="222222"/>
          <w:sz w:val="21"/>
          <w:szCs w:val="21"/>
        </w:rPr>
        <w:t xml:space="preserve"> — “Unauthorized user exploits inadequate backup access controls causing sensitive data exposure to Clinical AI Backup Repository” (Data Protection; Likelihood 2 / Impact 4; Open; Data Protection Team). </w:t>
      </w:r>
      <w:r>
        <w:rPr>
          <w:b/>
          <w:bCs/>
          <w:color w:val="222222"/>
          <w:sz w:val="21"/>
          <w:szCs w:val="21"/>
        </w:rPr>
        <w:t xml:space="preserve">Limitation: </w:t>
      </w:r>
      <w:r>
        <w:rPr>
          <w:color w:val="222222"/>
          <w:sz w:val="21"/>
          <w:szCs w:val="21"/>
        </w:rPr>
        <w:t xml:space="preserve">this addresses exposure of backup data via access controls, not the presence of unnecessary personal data or the minimization/safeguard obligations assessed here.</w:t>
      </w:r>
    </w:p>
    <w:p>
      <w:pPr>
        <w:spacing w:after="120" w:before="0" w:line="276"/>
        <w:jc w:val="left"/>
      </w:pPr>
      <w:r>
        <w:rPr>
          <w:color w:val="222222"/>
          <w:sz w:val="21"/>
          <w:szCs w:val="21"/>
        </w:rPr>
        <w:t xml:space="preserve">A further Data-Protection-category risk, RSK-001 (“Training data bias causes inaccurate clinical AI recommendations”; 3/5; Open; Clinical AI &amp; Machine Learning Team), concerns model accuracy and bias, not personal-information privacy, and is therefore not mapped to this control.</w:t>
      </w:r>
    </w:p>
    <w:p>
      <w:pPr>
        <w:spacing w:after="120" w:before="0" w:line="276"/>
        <w:jc w:val="left"/>
      </w:pPr>
      <w:r>
        <w:rPr>
          <w:b/>
          <w:bCs/>
          <w:color w:val="222222"/>
          <w:sz w:val="21"/>
          <w:szCs w:val="21"/>
        </w:rPr>
        <w:t xml:space="preserve">Risk-register coverage gap (observation). </w:t>
      </w:r>
      <w:r>
        <w:rPr>
          <w:color w:val="222222"/>
          <w:sz w:val="21"/>
          <w:szCs w:val="21"/>
        </w:rPr>
        <w:t xml:space="preserve">No risk record in the register specifically addresses excessive or unnecessary personal data in AI datasets, or non-compliant processing of personal data — the exact exposure this control mitigates. This is a risk-register coverage gap: the control operates against a risk that is not explicitly represented in the register. Recommendation: add a risk record for “unnecessary personal data / non-compliant processing in AI datasets” (owner Privacy and Compliance Team) and link CTL-006 to it. This item is carried to the consolidated GRC Findings &amp; Remediation Tracker, consistent with the coverage gap documented in MAL-VMA-005 for CTL-005.</w:t>
      </w:r>
    </w:p>
    <w:p>
      <w:pPr>
        <w:spacing w:after="120" w:before="40" w:line="276"/>
        <w:jc w:val="left"/>
      </w:pPr>
      <w:r>
        <w:rPr>
          <w:i/>
          <w:iCs/>
          <w:color w:val="7F7F7F"/>
          <w:sz w:val="18"/>
          <w:szCs w:val="18"/>
        </w:rPr>
        <w:t xml:space="preserve">Risk identifier RSK-008 uses the project’s normalized register scheme; its source identifier was not exposed (null). RSK-002 carries a source identifier. Likelihood/impact/status/owner values are source/project data and are not modified by this assessment.</w:t>
      </w:r>
    </w:p>
    <w:p>
      <w:pPr>
        <w:pStyle w:val="Heading1"/>
        <w:pBdr>
          <w:bottom w:val="single" w:color="B4BED4" w:sz="6" w:space="3"/>
        </w:pBdr>
      </w:pPr>
      <w:r>
        <w:t xml:space="preserve">6. Methodology (Simulated Assessment Procedure)</w:t>
      </w:r>
    </w:p>
    <w:p>
      <w:pPr>
        <w:spacing w:after="120" w:before="0" w:line="276"/>
        <w:jc w:val="left"/>
      </w:pPr>
      <w:r>
        <w:rPr>
          <w:color w:val="222222"/>
          <w:sz w:val="21"/>
          <w:szCs w:val="21"/>
        </w:rPr>
        <w:t xml:space="preserve">The following procedure describes how the dataset privacy review would be assessed, structured to GDPR Article 35 DPIA elements. Steps marked “evidence required” depend on artifacts that would be collected in a live engagement (see Section 15).</w:t>
      </w:r>
    </w:p>
    <w:p>
      <w:pPr>
        <w:spacing w:after="60" w:line="276"/>
        <w:ind w:left="360" w:hanging="360"/>
      </w:pPr>
      <w:r>
        <w:rPr>
          <w:b/>
          <w:bCs/>
          <w:color w:val="222222"/>
          <w:sz w:val="21"/>
          <w:szCs w:val="21"/>
        </w:rPr>
        <w:t xml:space="preserve">1.  </w:t>
      </w:r>
      <w:r>
        <w:rPr>
          <w:color w:val="222222"/>
          <w:sz w:val="21"/>
          <w:szCs w:val="21"/>
        </w:rPr>
        <w:t xml:space="preserve">Describe the processing (purpose, nature, scope, and context) for each in-scope stream. (Evidence required: records of processing / data inventory.)</w:t>
      </w:r>
    </w:p>
    <w:p>
      <w:pPr>
        <w:spacing w:after="60" w:line="276"/>
        <w:ind w:left="360" w:hanging="360"/>
      </w:pPr>
      <w:r>
        <w:rPr>
          <w:b/>
          <w:bCs/>
          <w:color w:val="222222"/>
          <w:sz w:val="21"/>
          <w:szCs w:val="21"/>
        </w:rPr>
        <w:t xml:space="preserve">2.  </w:t>
      </w:r>
      <w:r>
        <w:rPr>
          <w:color w:val="222222"/>
          <w:sz w:val="21"/>
          <w:szCs w:val="21"/>
        </w:rPr>
        <w:t xml:space="preserve">Confirm the lawful basis and stated purpose for each processing stream. (Evidence required.)</w:t>
      </w:r>
    </w:p>
    <w:p>
      <w:pPr>
        <w:spacing w:after="60" w:line="276"/>
        <w:ind w:left="360" w:hanging="360"/>
      </w:pPr>
      <w:r>
        <w:rPr>
          <w:b/>
          <w:bCs/>
          <w:color w:val="222222"/>
          <w:sz w:val="21"/>
          <w:szCs w:val="21"/>
        </w:rPr>
        <w:t xml:space="preserve">3.  </w:t>
      </w:r>
      <w:r>
        <w:rPr>
          <w:color w:val="222222"/>
          <w:sz w:val="21"/>
          <w:szCs w:val="21"/>
        </w:rPr>
        <w:t xml:space="preserve">Assess necessity and proportionality — review each dataset for personal-data elements not necessary for the stated purpose (data minimization). (Evidence required: data dictionary / minimization records.)</w:t>
      </w:r>
    </w:p>
    <w:p>
      <w:pPr>
        <w:spacing w:after="60" w:line="276"/>
        <w:ind w:left="360" w:hanging="360"/>
      </w:pPr>
      <w:r>
        <w:rPr>
          <w:b/>
          <w:bCs/>
          <w:color w:val="222222"/>
          <w:sz w:val="21"/>
          <w:szCs w:val="21"/>
        </w:rPr>
        <w:t xml:space="preserve">4.  </w:t>
      </w:r>
      <w:r>
        <w:rPr>
          <w:color w:val="222222"/>
          <w:sz w:val="21"/>
          <w:szCs w:val="21"/>
        </w:rPr>
        <w:t xml:space="preserve">Assess the privacy safeguards applied to personal data before processing (for example, masking or pseudonymization, and access restriction). (Evidence required: configuration / safeguard records.)</w:t>
      </w:r>
    </w:p>
    <w:p>
      <w:pPr>
        <w:spacing w:after="60" w:line="276"/>
        <w:ind w:left="360" w:hanging="360"/>
      </w:pPr>
      <w:r>
        <w:rPr>
          <w:b/>
          <w:bCs/>
          <w:color w:val="222222"/>
          <w:sz w:val="21"/>
          <w:szCs w:val="21"/>
        </w:rPr>
        <w:t xml:space="preserve">5.  </w:t>
      </w:r>
      <w:r>
        <w:rPr>
          <w:color w:val="222222"/>
          <w:sz w:val="21"/>
          <w:szCs w:val="21"/>
        </w:rPr>
        <w:t xml:space="preserve">Assess retention and storage limitation for personal data in the datasets. (Evidence required: retention schedule.)</w:t>
      </w:r>
    </w:p>
    <w:p>
      <w:pPr>
        <w:spacing w:after="60" w:line="276"/>
        <w:ind w:left="360" w:hanging="360"/>
      </w:pPr>
      <w:r>
        <w:rPr>
          <w:b/>
          <w:bCs/>
          <w:color w:val="222222"/>
          <w:sz w:val="21"/>
          <w:szCs w:val="21"/>
        </w:rPr>
        <w:t xml:space="preserve">6.  </w:t>
      </w:r>
      <w:r>
        <w:rPr>
          <w:color w:val="222222"/>
          <w:sz w:val="21"/>
          <w:szCs w:val="21"/>
        </w:rPr>
        <w:t xml:space="preserve">Identify risks to the rights and freedoms of data subjects and map them to register risks, noting any coverage gap.</w:t>
      </w:r>
    </w:p>
    <w:p>
      <w:pPr>
        <w:spacing w:after="60" w:line="276"/>
        <w:ind w:left="360" w:hanging="360"/>
      </w:pPr>
      <w:r>
        <w:rPr>
          <w:b/>
          <w:bCs/>
          <w:color w:val="222222"/>
          <w:sz w:val="21"/>
          <w:szCs w:val="21"/>
        </w:rPr>
        <w:t xml:space="preserve">7.  </w:t>
      </w:r>
      <w:r>
        <w:rPr>
          <w:color w:val="222222"/>
          <w:sz w:val="21"/>
          <w:szCs w:val="21"/>
        </w:rPr>
        <w:t xml:space="preserve">Disposition each identified gap with an owner, action, status, and target date, and determine the operating effectiveness of the control for the assessment period.</w:t>
      </w:r>
    </w:p>
    <w:p>
      <w:pPr>
        <w:pStyle w:val="Heading1"/>
        <w:pBdr>
          <w:bottom w:val="single" w:color="B4BED4" w:sz="6" w:space="3"/>
        </w:pBdr>
      </w:pPr>
      <w:r>
        <w:t xml:space="preserve">7. Roles &amp; Responsibilities</w:t>
      </w:r>
    </w:p>
    <w:p>
      <w:pPr>
        <w:spacing w:after="120" w:before="0" w:line="276"/>
        <w:jc w:val="left"/>
      </w:pPr>
      <w:r>
        <w:rPr>
          <w:color w:val="222222"/>
          <w:sz w:val="21"/>
          <w:szCs w:val="21"/>
        </w:rPr>
        <w:t xml:space="preserve">The following RACI is portfolio-developed and reflects the simulated governance structure for this control. Team names are drawn from the source register.</w:t>
      </w:r>
    </w:p>
    <w:p>
      <w:pPr>
        <w:spacing w:after="80" w:before="0" w:line="276"/>
        <w:jc w:val="left"/>
      </w:pPr>
      <w:r>
        <w:rPr>
          <w:b/>
          <w:bCs/>
          <w:color w:val="222222"/>
          <w:sz w:val="21"/>
          <w:szCs w:val="21"/>
        </w:rPr>
        <w:t xml:space="preserve">Legend: </w:t>
      </w:r>
      <w:r>
        <w:rPr>
          <w:color w:val="222222"/>
          <w:sz w:val="18"/>
          <w:szCs w:val="18"/>
        </w:rPr>
        <w:t xml:space="preserve">R = Responsible  •  A = Accountable  •  C = Consulted  •  I = Informed</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780"/>
        <w:gridCol w:w="1650"/>
        <w:gridCol w:w="1650"/>
        <w:gridCol w:w="1500"/>
        <w:gridCol w:w="1500"/>
      </w:tblGrid>
      <w:tr>
        <w:trPr>
          <w:cantSplit/>
          <w:tblHeader/>
        </w:trPr>
        <w:tc>
          <w:tcPr>
            <w:tcW w:type="dxa" w:w="378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Activity</w:t>
            </w:r>
          </w:p>
        </w:tc>
        <w:tc>
          <w:tcPr>
            <w:tcW w:type="dxa" w:w="1650"/>
            <w:shd w:fill="1F3864" w:color="auto" w:val="clear"/>
            <w:tcMar>
              <w:top w:type="dxa" w:w="50"/>
              <w:left w:type="dxa" w:w="90"/>
              <w:bottom w:type="dxa" w:w="50"/>
              <w:right w:type="dxa" w:w="90"/>
            </w:tcMar>
            <w:vAlign w:val="center"/>
          </w:tcPr>
          <w:p>
            <w:pPr>
              <w:spacing w:after="0"/>
              <w:jc w:val="center"/>
            </w:pPr>
            <w:r>
              <w:rPr>
                <w:b/>
                <w:bCs/>
                <w:color w:val="FFFFFF"/>
                <w:sz w:val="16"/>
                <w:szCs w:val="16"/>
              </w:rPr>
              <w:t xml:space="preserve">Privacy &amp; Compliance</w:t>
            </w:r>
          </w:p>
        </w:tc>
        <w:tc>
          <w:tcPr>
            <w:tcW w:type="dxa" w:w="1650"/>
            <w:shd w:fill="1F3864" w:color="auto" w:val="clear"/>
            <w:tcMar>
              <w:top w:type="dxa" w:w="50"/>
              <w:left w:type="dxa" w:w="90"/>
              <w:bottom w:type="dxa" w:w="50"/>
              <w:right w:type="dxa" w:w="90"/>
            </w:tcMar>
            <w:vAlign w:val="center"/>
          </w:tcPr>
          <w:p>
            <w:pPr>
              <w:spacing w:after="0"/>
              <w:jc w:val="center"/>
            </w:pPr>
            <w:r>
              <w:rPr>
                <w:b/>
                <w:bCs/>
                <w:color w:val="FFFFFF"/>
                <w:sz w:val="16"/>
                <w:szCs w:val="16"/>
              </w:rPr>
              <w:t xml:space="preserve">Asset Owner(s)</w:t>
            </w:r>
          </w:p>
        </w:tc>
        <w:tc>
          <w:tcPr>
            <w:tcW w:type="dxa" w:w="1500"/>
            <w:shd w:fill="1F3864" w:color="auto" w:val="clear"/>
            <w:tcMar>
              <w:top w:type="dxa" w:w="50"/>
              <w:left w:type="dxa" w:w="90"/>
              <w:bottom w:type="dxa" w:w="50"/>
              <w:right w:type="dxa" w:w="90"/>
            </w:tcMar>
            <w:vAlign w:val="center"/>
          </w:tcPr>
          <w:p>
            <w:pPr>
              <w:spacing w:after="0"/>
              <w:jc w:val="center"/>
            </w:pPr>
            <w:r>
              <w:rPr>
                <w:b/>
                <w:bCs/>
                <w:color w:val="FFFFFF"/>
                <w:sz w:val="16"/>
                <w:szCs w:val="16"/>
              </w:rPr>
              <w:t xml:space="preserve">Data / AI Eng</w:t>
            </w:r>
          </w:p>
        </w:tc>
        <w:tc>
          <w:tcPr>
            <w:tcW w:type="dxa" w:w="1500"/>
            <w:shd w:fill="1F3864" w:color="auto" w:val="clear"/>
            <w:tcMar>
              <w:top w:type="dxa" w:w="50"/>
              <w:left w:type="dxa" w:w="90"/>
              <w:bottom w:type="dxa" w:w="50"/>
              <w:right w:type="dxa" w:w="90"/>
            </w:tcMar>
            <w:vAlign w:val="center"/>
          </w:tcPr>
          <w:p>
            <w:pPr>
              <w:spacing w:after="0"/>
              <w:jc w:val="center"/>
            </w:pPr>
            <w:r>
              <w:rPr>
                <w:b/>
                <w:bCs/>
                <w:color w:val="FFFFFF"/>
                <w:sz w:val="16"/>
                <w:szCs w:val="16"/>
              </w:rPr>
              <w:t xml:space="preserve">GRC Team</w:t>
            </w:r>
          </w:p>
        </w:tc>
      </w:tr>
      <w:tr>
        <w:trPr>
          <w:cantSplit/>
        </w:trPr>
        <w:tc>
          <w:tcPr>
            <w:tcW w:type="dxa" w:w="378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Define &amp; maintain the dataset privacy-review program</w:t>
            </w:r>
          </w:p>
        </w:tc>
        <w:tc>
          <w:tcPr>
            <w:tcW w:type="dxa" w:w="1650"/>
            <w:tcMar>
              <w:top w:type="dxa" w:w="50"/>
              <w:left w:type="dxa" w:w="90"/>
              <w:bottom w:type="dxa" w:w="50"/>
              <w:right w:type="dxa" w:w="90"/>
            </w:tcMar>
            <w:vAlign w:val="top"/>
          </w:tcPr>
          <w:p>
            <w:pPr>
              <w:spacing w:after="0" w:line="264"/>
              <w:jc w:val="center"/>
            </w:pPr>
            <w:r>
              <w:rPr>
                <w:b/>
                <w:bCs/>
                <w:i w:val="false"/>
                <w:iCs w:val="false"/>
                <w:color w:val="222222"/>
                <w:sz w:val="16"/>
                <w:szCs w:val="16"/>
              </w:rPr>
              <w:t xml:space="preserve">A, R</w:t>
            </w:r>
          </w:p>
        </w:tc>
        <w:tc>
          <w:tcPr>
            <w:tcW w:type="dxa" w:w="165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C</w:t>
            </w:r>
          </w:p>
        </w:tc>
        <w:tc>
          <w:tcPr>
            <w:tcW w:type="dxa" w:w="150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C</w:t>
            </w:r>
          </w:p>
        </w:tc>
        <w:tc>
          <w:tcPr>
            <w:tcW w:type="dxa" w:w="150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C</w:t>
            </w:r>
          </w:p>
        </w:tc>
      </w:tr>
      <w:tr>
        <w:trPr>
          <w:cantSplit/>
        </w:trPr>
        <w:tc>
          <w:tcPr>
            <w:tcW w:type="dxa" w:w="378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Maintain data inventory / dictionary for in-scope datasets</w:t>
            </w:r>
          </w:p>
        </w:tc>
        <w:tc>
          <w:tcPr>
            <w:tcW w:type="dxa" w:w="165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C</w:t>
            </w:r>
          </w:p>
        </w:tc>
        <w:tc>
          <w:tcPr>
            <w:tcW w:type="dxa" w:w="1650"/>
            <w:shd w:fill="F2F5FA" w:color="auto" w:val="clear"/>
            <w:tcMar>
              <w:top w:type="dxa" w:w="50"/>
              <w:left w:type="dxa" w:w="90"/>
              <w:bottom w:type="dxa" w:w="50"/>
              <w:right w:type="dxa" w:w="90"/>
            </w:tcMar>
            <w:vAlign w:val="top"/>
          </w:tcPr>
          <w:p>
            <w:pPr>
              <w:spacing w:after="0" w:line="264"/>
              <w:jc w:val="center"/>
            </w:pPr>
            <w:r>
              <w:rPr>
                <w:b/>
                <w:bCs/>
                <w:i w:val="false"/>
                <w:iCs w:val="false"/>
                <w:color w:val="222222"/>
                <w:sz w:val="16"/>
                <w:szCs w:val="16"/>
              </w:rPr>
              <w:t xml:space="preserve">A, R</w:t>
            </w:r>
          </w:p>
        </w:tc>
        <w:tc>
          <w:tcPr>
            <w:tcW w:type="dxa" w:w="150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R</w:t>
            </w:r>
          </w:p>
        </w:tc>
        <w:tc>
          <w:tcPr>
            <w:tcW w:type="dxa" w:w="150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I</w:t>
            </w:r>
          </w:p>
        </w:tc>
      </w:tr>
      <w:tr>
        <w:trPr>
          <w:cantSplit/>
        </w:trPr>
        <w:tc>
          <w:tcPr>
            <w:tcW w:type="dxa" w:w="378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Perform the quarterly data-minimization review</w:t>
            </w:r>
          </w:p>
        </w:tc>
        <w:tc>
          <w:tcPr>
            <w:tcW w:type="dxa" w:w="1650"/>
            <w:tcMar>
              <w:top w:type="dxa" w:w="50"/>
              <w:left w:type="dxa" w:w="90"/>
              <w:bottom w:type="dxa" w:w="50"/>
              <w:right w:type="dxa" w:w="90"/>
            </w:tcMar>
            <w:vAlign w:val="top"/>
          </w:tcPr>
          <w:p>
            <w:pPr>
              <w:spacing w:after="0" w:line="264"/>
              <w:jc w:val="center"/>
            </w:pPr>
            <w:r>
              <w:rPr>
                <w:b/>
                <w:bCs/>
                <w:i w:val="false"/>
                <w:iCs w:val="false"/>
                <w:color w:val="222222"/>
                <w:sz w:val="16"/>
                <w:szCs w:val="16"/>
              </w:rPr>
              <w:t xml:space="preserve">A, R</w:t>
            </w:r>
          </w:p>
        </w:tc>
        <w:tc>
          <w:tcPr>
            <w:tcW w:type="dxa" w:w="165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C</w:t>
            </w:r>
          </w:p>
        </w:tc>
        <w:tc>
          <w:tcPr>
            <w:tcW w:type="dxa" w:w="150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C</w:t>
            </w:r>
          </w:p>
        </w:tc>
        <w:tc>
          <w:tcPr>
            <w:tcW w:type="dxa" w:w="150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I</w:t>
            </w:r>
          </w:p>
        </w:tc>
      </w:tr>
      <w:tr>
        <w:trPr>
          <w:cantSplit/>
        </w:trPr>
        <w:tc>
          <w:tcPr>
            <w:tcW w:type="dxa" w:w="378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Apply privacy safeguards before processing (§9)</w:t>
            </w:r>
          </w:p>
        </w:tc>
        <w:tc>
          <w:tcPr>
            <w:tcW w:type="dxa" w:w="165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C</w:t>
            </w:r>
          </w:p>
        </w:tc>
        <w:tc>
          <w:tcPr>
            <w:tcW w:type="dxa" w:w="1650"/>
            <w:shd w:fill="F2F5FA" w:color="auto" w:val="clear"/>
            <w:tcMar>
              <w:top w:type="dxa" w:w="50"/>
              <w:left w:type="dxa" w:w="90"/>
              <w:bottom w:type="dxa" w:w="50"/>
              <w:right w:type="dxa" w:w="90"/>
            </w:tcMar>
            <w:vAlign w:val="top"/>
          </w:tcPr>
          <w:p>
            <w:pPr>
              <w:spacing w:after="0" w:line="264"/>
              <w:jc w:val="center"/>
            </w:pPr>
            <w:r>
              <w:rPr>
                <w:b/>
                <w:bCs/>
                <w:i w:val="false"/>
                <w:iCs w:val="false"/>
                <w:color w:val="222222"/>
                <w:sz w:val="16"/>
                <w:szCs w:val="16"/>
              </w:rPr>
              <w:t xml:space="preserve">A</w:t>
            </w:r>
          </w:p>
        </w:tc>
        <w:tc>
          <w:tcPr>
            <w:tcW w:type="dxa" w:w="150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R</w:t>
            </w:r>
          </w:p>
        </w:tc>
        <w:tc>
          <w:tcPr>
            <w:tcW w:type="dxa" w:w="150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I</w:t>
            </w:r>
          </w:p>
        </w:tc>
      </w:tr>
      <w:tr>
        <w:trPr>
          <w:cantSplit/>
        </w:trPr>
        <w:tc>
          <w:tcPr>
            <w:tcW w:type="dxa" w:w="378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Define &amp; enforce retention / storage limitation</w:t>
            </w:r>
          </w:p>
        </w:tc>
        <w:tc>
          <w:tcPr>
            <w:tcW w:type="dxa" w:w="1650"/>
            <w:tcMar>
              <w:top w:type="dxa" w:w="50"/>
              <w:left w:type="dxa" w:w="90"/>
              <w:bottom w:type="dxa" w:w="50"/>
              <w:right w:type="dxa" w:w="90"/>
            </w:tcMar>
            <w:vAlign w:val="top"/>
          </w:tcPr>
          <w:p>
            <w:pPr>
              <w:spacing w:after="0" w:line="264"/>
              <w:jc w:val="center"/>
            </w:pPr>
            <w:r>
              <w:rPr>
                <w:b/>
                <w:bCs/>
                <w:i w:val="false"/>
                <w:iCs w:val="false"/>
                <w:color w:val="222222"/>
                <w:sz w:val="16"/>
                <w:szCs w:val="16"/>
              </w:rPr>
              <w:t xml:space="preserve">A, R</w:t>
            </w:r>
          </w:p>
        </w:tc>
        <w:tc>
          <w:tcPr>
            <w:tcW w:type="dxa" w:w="165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R</w:t>
            </w:r>
          </w:p>
        </w:tc>
        <w:tc>
          <w:tcPr>
            <w:tcW w:type="dxa" w:w="150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C</w:t>
            </w:r>
          </w:p>
        </w:tc>
        <w:tc>
          <w:tcPr>
            <w:tcW w:type="dxa" w:w="150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I</w:t>
            </w:r>
          </w:p>
        </w:tc>
      </w:tr>
      <w:tr>
        <w:trPr>
          <w:cantSplit/>
        </w:trPr>
        <w:tc>
          <w:tcPr>
            <w:tcW w:type="dxa" w:w="378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Maintain records of processing (ROPA) &amp; accountability</w:t>
            </w:r>
          </w:p>
        </w:tc>
        <w:tc>
          <w:tcPr>
            <w:tcW w:type="dxa" w:w="1650"/>
            <w:shd w:fill="F2F5FA" w:color="auto" w:val="clear"/>
            <w:tcMar>
              <w:top w:type="dxa" w:w="50"/>
              <w:left w:type="dxa" w:w="90"/>
              <w:bottom w:type="dxa" w:w="50"/>
              <w:right w:type="dxa" w:w="90"/>
            </w:tcMar>
            <w:vAlign w:val="top"/>
          </w:tcPr>
          <w:p>
            <w:pPr>
              <w:spacing w:after="0" w:line="264"/>
              <w:jc w:val="center"/>
            </w:pPr>
            <w:r>
              <w:rPr>
                <w:b/>
                <w:bCs/>
                <w:i w:val="false"/>
                <w:iCs w:val="false"/>
                <w:color w:val="222222"/>
                <w:sz w:val="16"/>
                <w:szCs w:val="16"/>
              </w:rPr>
              <w:t xml:space="preserve">A, R</w:t>
            </w:r>
          </w:p>
        </w:tc>
        <w:tc>
          <w:tcPr>
            <w:tcW w:type="dxa" w:w="165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C</w:t>
            </w:r>
          </w:p>
        </w:tc>
        <w:tc>
          <w:tcPr>
            <w:tcW w:type="dxa" w:w="150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I</w:t>
            </w:r>
          </w:p>
        </w:tc>
        <w:tc>
          <w:tcPr>
            <w:tcW w:type="dxa" w:w="150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C</w:t>
            </w:r>
          </w:p>
        </w:tc>
      </w:tr>
      <w:tr>
        <w:trPr>
          <w:cantSplit/>
        </w:trPr>
        <w:tc>
          <w:tcPr>
            <w:tcW w:type="dxa" w:w="378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Independent assessment &amp; effectiveness reporting</w:t>
            </w:r>
          </w:p>
        </w:tc>
        <w:tc>
          <w:tcPr>
            <w:tcW w:type="dxa" w:w="165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C</w:t>
            </w:r>
          </w:p>
        </w:tc>
        <w:tc>
          <w:tcPr>
            <w:tcW w:type="dxa" w:w="165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I</w:t>
            </w:r>
          </w:p>
        </w:tc>
        <w:tc>
          <w:tcPr>
            <w:tcW w:type="dxa" w:w="150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I</w:t>
            </w:r>
          </w:p>
        </w:tc>
        <w:tc>
          <w:tcPr>
            <w:tcW w:type="dxa" w:w="1500"/>
            <w:tcMar>
              <w:top w:type="dxa" w:w="50"/>
              <w:left w:type="dxa" w:w="90"/>
              <w:bottom w:type="dxa" w:w="50"/>
              <w:right w:type="dxa" w:w="90"/>
            </w:tcMar>
            <w:vAlign w:val="top"/>
          </w:tcPr>
          <w:p>
            <w:pPr>
              <w:spacing w:after="0" w:line="264"/>
              <w:jc w:val="center"/>
            </w:pPr>
            <w:r>
              <w:rPr>
                <w:b/>
                <w:bCs/>
                <w:i w:val="false"/>
                <w:iCs w:val="false"/>
                <w:color w:val="222222"/>
                <w:sz w:val="16"/>
                <w:szCs w:val="16"/>
              </w:rPr>
              <w:t xml:space="preserve">A, R</w:t>
            </w:r>
          </w:p>
        </w:tc>
      </w:tr>
    </w:tbl>
    <w:p>
      <w:pPr>
        <w:spacing w:after="120" w:before="60" w:line="276"/>
        <w:jc w:val="left"/>
      </w:pPr>
      <w:r>
        <w:rPr>
          <w:i/>
          <w:iCs/>
          <w:color w:val="7F7F7F"/>
          <w:sz w:val="18"/>
          <w:szCs w:val="18"/>
        </w:rPr>
        <w:t xml:space="preserve">Asset Owners = Data Science Team (AST-002), Clinical AI &amp; Machine Learning Team (AST-001), Data Protection Team (AST-009). Data / AI Eng = Data Science Team / AI Engineering Team. Roles are illustrative for the simulated scenario.</w:t>
      </w:r>
    </w:p>
    <w:p>
      <w:pPr>
        <w:pStyle w:val="Heading1"/>
        <w:pBdr>
          <w:bottom w:val="single" w:color="B4BED4" w:sz="6" w:space="3"/>
        </w:pBdr>
      </w:pPr>
      <w:r>
        <w:t xml:space="preserve">8. Processing Description &amp; Data Inventory (Simulated)</w:t>
      </w:r>
    </w:p>
    <w:p>
      <w:pPr>
        <w:spacing w:after="120" w:before="0" w:line="276"/>
        <w:jc w:val="left"/>
      </w:pPr>
      <w:r>
        <w:rPr>
          <w:b/>
          <w:bCs/>
          <w:color w:val="222222"/>
          <w:sz w:val="21"/>
          <w:szCs w:val="21"/>
        </w:rPr>
        <w:t xml:space="preserve">Stream A — Financial training data (AST-002). </w:t>
      </w:r>
      <w:r>
        <w:rPr>
          <w:color w:val="222222"/>
          <w:sz w:val="21"/>
          <w:szCs w:val="21"/>
        </w:rPr>
        <w:t xml:space="preserve">The Financial Risk Training Data Repository is a Production data store (High classification, Data Science Team) used to curate financial-risk training data for AI model development. In the assessment scenario it contains personal financial / customer information used to build and validate models; it is treated as non-special-category personal data.</w:t>
      </w:r>
    </w:p>
    <w:p>
      <w:pPr>
        <w:spacing w:after="120" w:before="0" w:line="276"/>
        <w:jc w:val="left"/>
      </w:pPr>
      <w:r>
        <w:rPr>
          <w:b/>
          <w:bCs/>
          <w:color w:val="222222"/>
          <w:sz w:val="21"/>
          <w:szCs w:val="21"/>
        </w:rPr>
        <w:t xml:space="preserve">Stream B — Clinical decision support (AST-001, AST-009). </w:t>
      </w:r>
      <w:r>
        <w:rPr>
          <w:color w:val="222222"/>
          <w:sz w:val="21"/>
          <w:szCs w:val="21"/>
        </w:rPr>
        <w:t xml:space="preserve">The Clinical Diagnostic AI Model is a Production application (Critical) that, per its source description, processes sensitive patient health data to support diagnostic decisions; the Clinical AI Backup Repository (High, DR, Data Protection Team) holds clinical data for disaster recovery. In the assessment scenario this stream involves special-category health data under GDPR Article 9, which carries heightened obligations.</w:t>
      </w:r>
    </w:p>
    <w:p>
      <w:pPr>
        <w:spacing w:after="120" w:before="40" w:line="276"/>
        <w:jc w:val="left"/>
      </w:pPr>
      <w:r>
        <w:rPr>
          <w:i/>
          <w:iCs/>
          <w:color w:val="7F7F7F"/>
          <w:sz w:val="18"/>
          <w:szCs w:val="18"/>
        </w:rPr>
        <w:t xml:space="preserve">The two streams are distinct. This assessment does not represent that AST-002 contains clinical data, or that AST-009 is itself an AI training dataset. A field-level data dictionary for either stream is not included and is listed in Section 15 as Evidence Required — Not Provided.</w:t>
      </w:r>
    </w:p>
    <w:p>
      <w:pPr>
        <w:pStyle w:val="Heading1"/>
        <w:pBdr>
          <w:bottom w:val="single" w:color="B4BED4" w:sz="6" w:space="3"/>
        </w:pBdr>
      </w:pPr>
      <w:r>
        <w:t xml:space="preserve">9. Necessity, Proportionality &amp; Article 5 Principle Assessment</w:t>
      </w:r>
    </w:p>
    <w:p>
      <w:pPr>
        <w:spacing w:after="120" w:before="0" w:line="276"/>
        <w:jc w:val="left"/>
      </w:pPr>
      <w:r>
        <w:rPr>
          <w:color w:val="222222"/>
          <w:sz w:val="21"/>
          <w:szCs w:val="21"/>
        </w:rPr>
        <w:t xml:space="preserve">The processing was assessed against the GDPR Article 5 principles. Results are qualitative and reflect the assessment scenario; they do not reflect an actual field-level review of data or inspection of configurations. “Met (Simulated)” indicates a principle assessed as satisfied within the scenario; a “Gap” indicates a deficiency carried to Findings (Section 12). Each gap applies across the in-scope streams unless a finding states otherwise.</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620"/>
        <w:gridCol w:w="2100"/>
        <w:gridCol w:w="4660"/>
        <w:gridCol w:w="2700"/>
      </w:tblGrid>
      <w:tr>
        <w:trPr>
          <w:cantSplit/>
          <w:tblHeader/>
        </w:trPr>
        <w:tc>
          <w:tcPr>
            <w:tcW w:type="dxa" w:w="620"/>
            <w:shd w:fill="1F3864" w:color="auto" w:val="clear"/>
            <w:tcMar>
              <w:top w:type="dxa" w:w="50"/>
              <w:left w:type="dxa" w:w="90"/>
              <w:bottom w:type="dxa" w:w="50"/>
              <w:right w:type="dxa" w:w="90"/>
            </w:tcMar>
            <w:vAlign w:val="center"/>
          </w:tcPr>
          <w:p>
            <w:pPr>
              <w:spacing w:after="0"/>
              <w:jc w:val="center"/>
            </w:pPr>
            <w:r>
              <w:rPr>
                <w:b/>
                <w:bCs/>
                <w:color w:val="FFFFFF"/>
                <w:sz w:val="16"/>
                <w:szCs w:val="16"/>
              </w:rPr>
              <w:t xml:space="preserve">Art.5</w:t>
            </w:r>
          </w:p>
        </w:tc>
        <w:tc>
          <w:tcPr>
            <w:tcW w:type="dxa" w:w="210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Principle</w:t>
            </w:r>
          </w:p>
        </w:tc>
        <w:tc>
          <w:tcPr>
            <w:tcW w:type="dxa" w:w="466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Expected State</w:t>
            </w:r>
          </w:p>
        </w:tc>
        <w:tc>
          <w:tcPr>
            <w:tcW w:type="dxa" w:w="270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Simulated Result</w:t>
            </w:r>
          </w:p>
        </w:tc>
      </w:tr>
      <w:tr>
        <w:trPr>
          <w:cantSplit/>
        </w:trPr>
        <w:tc>
          <w:tcPr>
            <w:tcW w:type="dxa" w:w="62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(a)</w:t>
            </w:r>
          </w:p>
        </w:tc>
        <w:tc>
          <w:tcPr>
            <w:tcW w:type="dxa" w:w="21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Lawfulness, fairness &amp; transparency</w:t>
            </w:r>
          </w:p>
        </w:tc>
        <w:tc>
          <w:tcPr>
            <w:tcW w:type="dxa" w:w="466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Processing has a documented lawful basis and purpose; data subjects are informed.</w:t>
            </w:r>
          </w:p>
        </w:tc>
        <w:tc>
          <w:tcPr>
            <w:tcW w:type="dxa" w:w="27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Met (Simulated)</w:t>
            </w:r>
          </w:p>
        </w:tc>
      </w:tr>
      <w:tr>
        <w:trPr>
          <w:cantSplit/>
        </w:trPr>
        <w:tc>
          <w:tcPr>
            <w:tcW w:type="dxa" w:w="62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(b)</w:t>
            </w:r>
          </w:p>
        </w:tc>
        <w:tc>
          <w:tcPr>
            <w:tcW w:type="dxa" w:w="21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Purpose limitation</w:t>
            </w:r>
          </w:p>
        </w:tc>
        <w:tc>
          <w:tcPr>
            <w:tcW w:type="dxa" w:w="466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Personal data is used only for the stated processing purpose.</w:t>
            </w:r>
          </w:p>
        </w:tc>
        <w:tc>
          <w:tcPr>
            <w:tcW w:type="dxa" w:w="27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Met (Simulated)</w:t>
            </w:r>
          </w:p>
        </w:tc>
      </w:tr>
      <w:tr>
        <w:trPr>
          <w:cantSplit/>
        </w:trPr>
        <w:tc>
          <w:tcPr>
            <w:tcW w:type="dxa" w:w="62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(c)</w:t>
            </w:r>
          </w:p>
        </w:tc>
        <w:tc>
          <w:tcPr>
            <w:tcW w:type="dxa" w:w="21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Data minimization</w:t>
            </w:r>
          </w:p>
        </w:tc>
        <w:tc>
          <w:tcPr>
            <w:tcW w:type="dxa" w:w="466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Only personal-data elements necessary for the purpose are retained in the dataset.</w:t>
            </w:r>
          </w:p>
        </w:tc>
        <w:tc>
          <w:tcPr>
            <w:tcW w:type="dxa" w:w="2700"/>
            <w:shd w:fill="FCE4D6" w:color="auto" w:val="clear"/>
            <w:tcMar>
              <w:top w:type="dxa" w:w="50"/>
              <w:left w:type="dxa" w:w="90"/>
              <w:bottom w:type="dxa" w:w="50"/>
              <w:right w:type="dxa" w:w="90"/>
            </w:tcMar>
            <w:vAlign w:val="top"/>
          </w:tcPr>
          <w:p>
            <w:pPr>
              <w:spacing w:after="0" w:line="264"/>
              <w:jc w:val="left"/>
            </w:pPr>
            <w:r>
              <w:rPr>
                <w:b/>
                <w:bCs/>
                <w:i w:val="false"/>
                <w:iCs w:val="false"/>
                <w:color w:val="9C4A00"/>
                <w:sz w:val="16"/>
                <w:szCs w:val="16"/>
              </w:rPr>
              <w:t xml:space="preserve">Gap (Simulated) — PRV-01</w:t>
            </w:r>
          </w:p>
        </w:tc>
      </w:tr>
      <w:tr>
        <w:trPr>
          <w:cantSplit/>
        </w:trPr>
        <w:tc>
          <w:tcPr>
            <w:tcW w:type="dxa" w:w="62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(d)</w:t>
            </w:r>
          </w:p>
        </w:tc>
        <w:tc>
          <w:tcPr>
            <w:tcW w:type="dxa" w:w="21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Accuracy</w:t>
            </w:r>
          </w:p>
        </w:tc>
        <w:tc>
          <w:tcPr>
            <w:tcW w:type="dxa" w:w="466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Personal data is kept accurate and up to date.</w:t>
            </w:r>
          </w:p>
        </w:tc>
        <w:tc>
          <w:tcPr>
            <w:tcW w:type="dxa" w:w="27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Met (Simulated)</w:t>
            </w:r>
          </w:p>
        </w:tc>
      </w:tr>
      <w:tr>
        <w:trPr>
          <w:cantSplit/>
        </w:trPr>
        <w:tc>
          <w:tcPr>
            <w:tcW w:type="dxa" w:w="62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(e)</w:t>
            </w:r>
          </w:p>
        </w:tc>
        <w:tc>
          <w:tcPr>
            <w:tcW w:type="dxa" w:w="21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Storage limitation</w:t>
            </w:r>
          </w:p>
        </w:tc>
        <w:tc>
          <w:tcPr>
            <w:tcW w:type="dxa" w:w="466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Personal data is retained only as long as necessary for the purpose.</w:t>
            </w:r>
          </w:p>
        </w:tc>
        <w:tc>
          <w:tcPr>
            <w:tcW w:type="dxa" w:w="2700"/>
            <w:shd w:fill="FCE4D6" w:color="auto" w:val="clear"/>
            <w:tcMar>
              <w:top w:type="dxa" w:w="50"/>
              <w:left w:type="dxa" w:w="90"/>
              <w:bottom w:type="dxa" w:w="50"/>
              <w:right w:type="dxa" w:w="90"/>
            </w:tcMar>
            <w:vAlign w:val="top"/>
          </w:tcPr>
          <w:p>
            <w:pPr>
              <w:spacing w:after="0" w:line="264"/>
              <w:jc w:val="left"/>
            </w:pPr>
            <w:r>
              <w:rPr>
                <w:b/>
                <w:bCs/>
                <w:i w:val="false"/>
                <w:iCs w:val="false"/>
                <w:color w:val="9C4A00"/>
                <w:sz w:val="16"/>
                <w:szCs w:val="16"/>
              </w:rPr>
              <w:t xml:space="preserve">Gap — Observation (Simulated) — PRV-03</w:t>
            </w:r>
          </w:p>
        </w:tc>
      </w:tr>
      <w:tr>
        <w:trPr>
          <w:cantSplit/>
        </w:trPr>
        <w:tc>
          <w:tcPr>
            <w:tcW w:type="dxa" w:w="62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(f)</w:t>
            </w:r>
          </w:p>
        </w:tc>
        <w:tc>
          <w:tcPr>
            <w:tcW w:type="dxa" w:w="21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Integrity &amp; confidentiality</w:t>
            </w:r>
          </w:p>
        </w:tc>
        <w:tc>
          <w:tcPr>
            <w:tcW w:type="dxa" w:w="466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Safeguards (e.g., masking / pseudonymization, access control) are applied to personal data before processing.</w:t>
            </w:r>
          </w:p>
        </w:tc>
        <w:tc>
          <w:tcPr>
            <w:tcW w:type="dxa" w:w="2700"/>
            <w:shd w:fill="FCE4D6" w:color="auto" w:val="clear"/>
            <w:tcMar>
              <w:top w:type="dxa" w:w="50"/>
              <w:left w:type="dxa" w:w="90"/>
              <w:bottom w:type="dxa" w:w="50"/>
              <w:right w:type="dxa" w:w="90"/>
            </w:tcMar>
            <w:vAlign w:val="top"/>
          </w:tcPr>
          <w:p>
            <w:pPr>
              <w:spacing w:after="0" w:line="264"/>
              <w:jc w:val="left"/>
            </w:pPr>
            <w:r>
              <w:rPr>
                <w:b/>
                <w:bCs/>
                <w:i w:val="false"/>
                <w:iCs w:val="false"/>
                <w:color w:val="9C4A00"/>
                <w:sz w:val="16"/>
                <w:szCs w:val="16"/>
              </w:rPr>
              <w:t xml:space="preserve">Gap (Simulated) — PRV-02</w:t>
            </w:r>
          </w:p>
        </w:tc>
      </w:tr>
      <w:tr>
        <w:trPr>
          <w:cantSplit/>
        </w:trPr>
        <w:tc>
          <w:tcPr>
            <w:tcW w:type="dxa" w:w="62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(2)</w:t>
            </w:r>
          </w:p>
        </w:tc>
        <w:tc>
          <w:tcPr>
            <w:tcW w:type="dxa" w:w="21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Accountability</w:t>
            </w:r>
          </w:p>
        </w:tc>
        <w:tc>
          <w:tcPr>
            <w:tcW w:type="dxa" w:w="466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Minimization reviews and applied safeguards are documented and demonstrable.</w:t>
            </w:r>
          </w:p>
        </w:tc>
        <w:tc>
          <w:tcPr>
            <w:tcW w:type="dxa" w:w="27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Met (Simulated)</w:t>
            </w:r>
          </w:p>
        </w:tc>
      </w:tr>
    </w:tbl>
    <w:p>
      <w:pPr>
        <w:spacing w:after="120" w:before="60" w:line="276"/>
        <w:jc w:val="left"/>
      </w:pPr>
      <w:r>
        <w:rPr>
          <w:i/>
          <w:iCs/>
          <w:color w:val="7F7F7F"/>
          <w:sz w:val="18"/>
          <w:szCs w:val="18"/>
        </w:rPr>
        <w:t xml:space="preserve">The Article 5 principle breakdown and results are portfolio-developed to illustrate how the quarterly dataset privacy review would be assessed. They do not reflect an actual review of data or configurations; supporting evidence for each principle is listed in Section 15 as Evidence Required — Not Provided.</w:t>
      </w:r>
    </w:p>
    <w:p>
      <w:pPr>
        <w:pStyle w:val="Heading1"/>
        <w:pBdr>
          <w:bottom w:val="single" w:color="B4BED4" w:sz="6" w:space="3"/>
        </w:pBdr>
      </w:pPr>
      <w:r>
        <w:t xml:space="preserve">10. Assessment Summary (Simulated)</w:t>
      </w:r>
    </w:p>
    <w:p>
      <w:pPr>
        <w:spacing w:after="120" w:before="0" w:line="276"/>
        <w:jc w:val="left"/>
      </w:pPr>
      <w:r>
        <w:rPr>
          <w:b/>
          <w:bCs/>
          <w:color w:val="222222"/>
          <w:sz w:val="21"/>
          <w:szCs w:val="21"/>
        </w:rPr>
        <w:t xml:space="preserve">Assessment Summary (Simulated): </w:t>
      </w:r>
      <w:r>
        <w:rPr>
          <w:color w:val="222222"/>
          <w:sz w:val="21"/>
          <w:szCs w:val="21"/>
        </w:rPr>
        <w:t xml:space="preserve">The simulated assessment reflects that a dataset privacy-review process is established and operating on a quarterly cadence — processing has a lawful basis and defined purpose, and privacy safeguards are applied (principles (a), (b), (d), and accountability assessed as met). The scenario indicates two deficiencies — incomplete documentation of data minimization (PRV-01) and inconsistent application of privacy safeguards (PRV-02) — and one process-improvement observation regarding retention / storage limitation (PRV-03). These reflect meaningful gaps in minimization and safeguards while showing that the underlying control exists and operates. The special-category health data in Stream B raises the potential impact of these gaps on data subjects.</w:t>
      </w:r>
    </w:p>
    <w:p>
      <w:pPr>
        <w:pStyle w:val="Heading1"/>
        <w:pBdr>
          <w:bottom w:val="single" w:color="B4BED4" w:sz="6" w:space="3"/>
        </w:pBdr>
      </w:pPr>
      <w:r>
        <w:t xml:space="preserve">11. Findings Summary</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150"/>
        <w:gridCol w:w="3450"/>
        <w:gridCol w:w="2130"/>
        <w:gridCol w:w="1250"/>
        <w:gridCol w:w="2100"/>
      </w:tblGrid>
      <w:tr>
        <w:trPr>
          <w:cantSplit/>
          <w:tblHeader/>
        </w:trPr>
        <w:tc>
          <w:tcPr>
            <w:tcW w:type="dxa" w:w="1150"/>
            <w:shd w:fill="1F3864" w:color="auto" w:val="clear"/>
            <w:tcMar>
              <w:top w:type="dxa" w:w="50"/>
              <w:left w:type="dxa" w:w="90"/>
              <w:bottom w:type="dxa" w:w="50"/>
              <w:right w:type="dxa" w:w="90"/>
            </w:tcMar>
            <w:vAlign w:val="center"/>
          </w:tcPr>
          <w:p>
            <w:pPr>
              <w:spacing w:after="0"/>
              <w:jc w:val="left"/>
            </w:pPr>
            <w:r>
              <w:rPr>
                <w:b/>
                <w:bCs/>
                <w:color w:val="FFFFFF"/>
                <w:sz w:val="17"/>
                <w:szCs w:val="17"/>
              </w:rPr>
              <w:t xml:space="preserve">Ref</w:t>
            </w:r>
          </w:p>
        </w:tc>
        <w:tc>
          <w:tcPr>
            <w:tcW w:type="dxa" w:w="3450"/>
            <w:shd w:fill="1F3864" w:color="auto" w:val="clear"/>
            <w:tcMar>
              <w:top w:type="dxa" w:w="50"/>
              <w:left w:type="dxa" w:w="90"/>
              <w:bottom w:type="dxa" w:w="50"/>
              <w:right w:type="dxa" w:w="90"/>
            </w:tcMar>
            <w:vAlign w:val="center"/>
          </w:tcPr>
          <w:p>
            <w:pPr>
              <w:spacing w:after="0"/>
              <w:jc w:val="left"/>
            </w:pPr>
            <w:r>
              <w:rPr>
                <w:b/>
                <w:bCs/>
                <w:color w:val="FFFFFF"/>
                <w:sz w:val="17"/>
                <w:szCs w:val="17"/>
              </w:rPr>
              <w:t xml:space="preserve">Deficiency / Type</w:t>
            </w:r>
          </w:p>
        </w:tc>
        <w:tc>
          <w:tcPr>
            <w:tcW w:type="dxa" w:w="2130"/>
            <w:shd w:fill="1F3864" w:color="auto" w:val="clear"/>
            <w:tcMar>
              <w:top w:type="dxa" w:w="50"/>
              <w:left w:type="dxa" w:w="90"/>
              <w:bottom w:type="dxa" w:w="50"/>
              <w:right w:type="dxa" w:w="90"/>
            </w:tcMar>
            <w:vAlign w:val="center"/>
          </w:tcPr>
          <w:p>
            <w:pPr>
              <w:spacing w:after="0"/>
              <w:jc w:val="left"/>
            </w:pPr>
            <w:r>
              <w:rPr>
                <w:b/>
                <w:bCs/>
                <w:color w:val="FFFFFF"/>
                <w:sz w:val="17"/>
                <w:szCs w:val="17"/>
              </w:rPr>
              <w:t xml:space="preserve">GDPR Ref</w:t>
            </w:r>
          </w:p>
        </w:tc>
        <w:tc>
          <w:tcPr>
            <w:tcW w:type="dxa" w:w="1250"/>
            <w:shd w:fill="1F3864" w:color="auto" w:val="clear"/>
            <w:tcMar>
              <w:top w:type="dxa" w:w="50"/>
              <w:left w:type="dxa" w:w="90"/>
              <w:bottom w:type="dxa" w:w="50"/>
              <w:right w:type="dxa" w:w="90"/>
            </w:tcMar>
            <w:vAlign w:val="center"/>
          </w:tcPr>
          <w:p>
            <w:pPr>
              <w:spacing w:after="0"/>
              <w:jc w:val="left"/>
            </w:pPr>
            <w:r>
              <w:rPr>
                <w:b/>
                <w:bCs/>
                <w:color w:val="FFFFFF"/>
                <w:sz w:val="17"/>
                <w:szCs w:val="17"/>
              </w:rPr>
              <w:t xml:space="preserve">Severity</w:t>
            </w:r>
          </w:p>
        </w:tc>
        <w:tc>
          <w:tcPr>
            <w:tcW w:type="dxa" w:w="2100"/>
            <w:shd w:fill="1F3864" w:color="auto" w:val="clear"/>
            <w:tcMar>
              <w:top w:type="dxa" w:w="50"/>
              <w:left w:type="dxa" w:w="90"/>
              <w:bottom w:type="dxa" w:w="50"/>
              <w:right w:type="dxa" w:w="90"/>
            </w:tcMar>
            <w:vAlign w:val="center"/>
          </w:tcPr>
          <w:p>
            <w:pPr>
              <w:spacing w:after="0"/>
              <w:jc w:val="left"/>
            </w:pPr>
            <w:r>
              <w:rPr>
                <w:b/>
                <w:bCs/>
                <w:color w:val="FFFFFF"/>
                <w:sz w:val="17"/>
                <w:szCs w:val="17"/>
              </w:rPr>
              <w:t xml:space="preserve">Remediation Status</w:t>
            </w:r>
          </w:p>
        </w:tc>
      </w:tr>
      <w:tr>
        <w:trPr>
          <w:cantSplit/>
        </w:trPr>
        <w:tc>
          <w:tcPr>
            <w:tcW w:type="dxa" w:w="1150"/>
            <w:tcMar>
              <w:top w:type="dxa" w:w="50"/>
              <w:left w:type="dxa" w:w="90"/>
              <w:bottom w:type="dxa" w:w="50"/>
              <w:right w:type="dxa" w:w="90"/>
            </w:tcMar>
            <w:vAlign w:val="top"/>
          </w:tcPr>
          <w:p>
            <w:pPr>
              <w:spacing w:after="0" w:line="264"/>
              <w:jc w:val="left"/>
            </w:pPr>
            <w:r>
              <w:rPr>
                <w:b/>
                <w:bCs/>
                <w:i w:val="false"/>
                <w:iCs w:val="false"/>
                <w:color w:val="222222"/>
                <w:sz w:val="17"/>
                <w:szCs w:val="17"/>
              </w:rPr>
              <w:t xml:space="preserve">PRV-01</w:t>
            </w:r>
          </w:p>
        </w:tc>
        <w:tc>
          <w:tcPr>
            <w:tcW w:type="dxa" w:w="345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Data minimization gap (Finding)</w:t>
            </w:r>
          </w:p>
        </w:tc>
        <w:tc>
          <w:tcPr>
            <w:tcW w:type="dxa" w:w="213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Art.5(1)(c)</w:t>
            </w:r>
          </w:p>
        </w:tc>
        <w:tc>
          <w:tcPr>
            <w:tcW w:type="dxa" w:w="125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Medium</w:t>
            </w:r>
          </w:p>
        </w:tc>
        <w:tc>
          <w:tcPr>
            <w:tcW w:type="dxa" w:w="210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In Progress (Sim.)</w:t>
            </w:r>
          </w:p>
        </w:tc>
      </w:tr>
      <w:tr>
        <w:trPr>
          <w:cantSplit/>
        </w:trPr>
        <w:tc>
          <w:tcPr>
            <w:tcW w:type="dxa" w:w="1150"/>
            <w:shd w:fill="F2F5FA" w:color="auto" w:val="clear"/>
            <w:tcMar>
              <w:top w:type="dxa" w:w="50"/>
              <w:left w:type="dxa" w:w="90"/>
              <w:bottom w:type="dxa" w:w="50"/>
              <w:right w:type="dxa" w:w="90"/>
            </w:tcMar>
            <w:vAlign w:val="top"/>
          </w:tcPr>
          <w:p>
            <w:pPr>
              <w:spacing w:after="0" w:line="264"/>
              <w:jc w:val="left"/>
            </w:pPr>
            <w:r>
              <w:rPr>
                <w:b/>
                <w:bCs/>
                <w:i w:val="false"/>
                <w:iCs w:val="false"/>
                <w:color w:val="222222"/>
                <w:sz w:val="17"/>
                <w:szCs w:val="17"/>
              </w:rPr>
              <w:t xml:space="preserve">PRV-02</w:t>
            </w:r>
          </w:p>
        </w:tc>
        <w:tc>
          <w:tcPr>
            <w:tcW w:type="dxa" w:w="345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Inconsistent privacy safeguards (Finding)</w:t>
            </w:r>
          </w:p>
        </w:tc>
        <w:tc>
          <w:tcPr>
            <w:tcW w:type="dxa" w:w="213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Art.5(1)(f) / Art.32</w:t>
            </w:r>
          </w:p>
        </w:tc>
        <w:tc>
          <w:tcPr>
            <w:tcW w:type="dxa" w:w="125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Medium</w:t>
            </w:r>
          </w:p>
        </w:tc>
        <w:tc>
          <w:tcPr>
            <w:tcW w:type="dxa" w:w="21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In Progress (Sim.)</w:t>
            </w:r>
          </w:p>
        </w:tc>
      </w:tr>
      <w:tr>
        <w:trPr>
          <w:cantSplit/>
        </w:trPr>
        <w:tc>
          <w:tcPr>
            <w:tcW w:type="dxa" w:w="1150"/>
            <w:tcMar>
              <w:top w:type="dxa" w:w="50"/>
              <w:left w:type="dxa" w:w="90"/>
              <w:bottom w:type="dxa" w:w="50"/>
              <w:right w:type="dxa" w:w="90"/>
            </w:tcMar>
            <w:vAlign w:val="top"/>
          </w:tcPr>
          <w:p>
            <w:pPr>
              <w:spacing w:after="0" w:line="264"/>
              <w:jc w:val="left"/>
            </w:pPr>
            <w:r>
              <w:rPr>
                <w:b/>
                <w:bCs/>
                <w:i w:val="false"/>
                <w:iCs w:val="false"/>
                <w:color w:val="222222"/>
                <w:sz w:val="17"/>
                <w:szCs w:val="17"/>
              </w:rPr>
              <w:t xml:space="preserve">PRV-03</w:t>
            </w:r>
          </w:p>
        </w:tc>
        <w:tc>
          <w:tcPr>
            <w:tcW w:type="dxa" w:w="345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Retention / storage limitation (Observation)</w:t>
            </w:r>
          </w:p>
        </w:tc>
        <w:tc>
          <w:tcPr>
            <w:tcW w:type="dxa" w:w="213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Art.5(1)(e)</w:t>
            </w:r>
          </w:p>
        </w:tc>
        <w:tc>
          <w:tcPr>
            <w:tcW w:type="dxa" w:w="125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Low</w:t>
            </w:r>
          </w:p>
        </w:tc>
        <w:tc>
          <w:tcPr>
            <w:tcW w:type="dxa" w:w="210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Open (Sim.)</w:t>
            </w:r>
          </w:p>
        </w:tc>
      </w:tr>
    </w:tbl>
    <w:p>
      <w:pPr>
        <w:pStyle w:val="Heading1"/>
        <w:pBdr>
          <w:bottom w:val="single" w:color="B4BED4" w:sz="6" w:space="3"/>
        </w:pBdr>
      </w:pPr>
      <w:r>
        <w:t xml:space="preserve">12. Detailed Findings</w:t>
      </w:r>
    </w:p>
    <w:p>
      <w:pPr>
        <w:spacing w:after="60" w:before="40" w:line="276"/>
        <w:jc w:val="left"/>
      </w:pPr>
      <w:r>
        <w:rPr>
          <w:b/>
          <w:bCs/>
          <w:color w:val="2F5496"/>
          <w:sz w:val="21"/>
          <w:szCs w:val="21"/>
        </w:rPr>
        <w:t xml:space="preserve">PRV-01 — Data Minimization Gap (Finding)</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600"/>
        <w:gridCol w:w="7480"/>
      </w:tblGrid>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Type</w:t>
            </w:r>
          </w:p>
        </w:tc>
        <w:tc>
          <w:tcPr>
            <w:tcW w:type="dxa" w:w="7480"/>
            <w:tcMar>
              <w:top w:type="dxa" w:w="50"/>
              <w:left w:type="dxa" w:w="90"/>
              <w:bottom w:type="dxa" w:w="50"/>
              <w:right w:type="dxa" w:w="90"/>
            </w:tcMar>
            <w:vAlign w:val="center"/>
          </w:tcPr>
          <w:p>
            <w:pPr>
              <w:spacing w:after="0" w:line="264"/>
            </w:pPr>
            <w:r>
              <w:rPr>
                <w:color w:val="222222"/>
                <w:sz w:val="18"/>
                <w:szCs w:val="18"/>
              </w:rPr>
              <w:t xml:space="preserve">Control deficiency (Finding) — data minimization (Art.5(1)(c)).</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Condition (Simulated)</w:t>
            </w:r>
          </w:p>
        </w:tc>
        <w:tc>
          <w:tcPr>
            <w:tcW w:type="dxa" w:w="7480"/>
            <w:tcMar>
              <w:top w:type="dxa" w:w="50"/>
              <w:left w:type="dxa" w:w="90"/>
              <w:bottom w:type="dxa" w:w="50"/>
              <w:right w:type="dxa" w:w="90"/>
            </w:tcMar>
            <w:vAlign w:val="center"/>
          </w:tcPr>
          <w:p>
            <w:pPr>
              <w:spacing w:after="0" w:line="264"/>
            </w:pPr>
            <w:r>
              <w:rPr>
                <w:color w:val="222222"/>
                <w:sz w:val="18"/>
                <w:szCs w:val="18"/>
              </w:rPr>
              <w:t xml:space="preserve">The assessment scenario indicates that the quarterly minimization review does not consistently document whether all retained personal-data elements are necessary for the stated processing purpose; unnecessary personal data may therefore be retained without a documented justification. Applies across Stream A (AST-002) and the clinical Stream B (AST-001 / AST-009).</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Risk / Impact</w:t>
            </w:r>
          </w:p>
        </w:tc>
        <w:tc>
          <w:tcPr>
            <w:tcW w:type="dxa" w:w="7480"/>
            <w:tcMar>
              <w:top w:type="dxa" w:w="50"/>
              <w:left w:type="dxa" w:w="90"/>
              <w:bottom w:type="dxa" w:w="50"/>
              <w:right w:type="dxa" w:w="90"/>
            </w:tcMar>
            <w:vAlign w:val="center"/>
          </w:tcPr>
          <w:p>
            <w:pPr>
              <w:spacing w:after="0" w:line="264"/>
            </w:pPr>
            <w:r>
              <w:rPr>
                <w:color w:val="222222"/>
                <w:sz w:val="18"/>
                <w:szCs w:val="18"/>
              </w:rPr>
              <w:t xml:space="preserve">Retaining personal data beyond what is necessary increases exposure and conflicts with the data-minimization principle; for Stream B this concerns special-category health data, raising the potential impact on data subjects (loosely related to RSK-002 / RSK-008; see Section 5).</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Severity</w:t>
            </w:r>
          </w:p>
        </w:tc>
        <w:tc>
          <w:tcPr>
            <w:tcW w:type="dxa" w:w="7480"/>
            <w:tcMar>
              <w:top w:type="dxa" w:w="50"/>
              <w:left w:type="dxa" w:w="90"/>
              <w:bottom w:type="dxa" w:w="50"/>
              <w:right w:type="dxa" w:w="90"/>
            </w:tcMar>
            <w:vAlign w:val="center"/>
          </w:tcPr>
          <w:p>
            <w:pPr>
              <w:spacing w:after="0" w:line="264"/>
            </w:pPr>
            <w:r>
              <w:rPr>
                <w:color w:val="222222"/>
                <w:sz w:val="18"/>
                <w:szCs w:val="18"/>
              </w:rPr>
              <w:t xml:space="preserve">Medium.</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Recommendation</w:t>
            </w:r>
          </w:p>
        </w:tc>
        <w:tc>
          <w:tcPr>
            <w:tcW w:type="dxa" w:w="7480"/>
            <w:tcMar>
              <w:top w:type="dxa" w:w="50"/>
              <w:left w:type="dxa" w:w="90"/>
              <w:bottom w:type="dxa" w:w="50"/>
              <w:right w:type="dxa" w:w="90"/>
            </w:tcMar>
            <w:vAlign w:val="center"/>
          </w:tcPr>
          <w:p>
            <w:pPr>
              <w:spacing w:after="0" w:line="264"/>
            </w:pPr>
            <w:r>
              <w:rPr>
                <w:color w:val="222222"/>
                <w:sz w:val="18"/>
                <w:szCs w:val="18"/>
              </w:rPr>
              <w:t xml:space="preserve">For each in-scope dataset, maintain a data inventory mapping every personal-data element to a documented necessity justification tied to the processing purpose; remove or justify elements that are not necessary; record decisions each review cycle.</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Owner</w:t>
            </w:r>
          </w:p>
        </w:tc>
        <w:tc>
          <w:tcPr>
            <w:tcW w:type="dxa" w:w="7480"/>
            <w:tcMar>
              <w:top w:type="dxa" w:w="50"/>
              <w:left w:type="dxa" w:w="90"/>
              <w:bottom w:type="dxa" w:w="50"/>
              <w:right w:type="dxa" w:w="90"/>
            </w:tcMar>
            <w:vAlign w:val="center"/>
          </w:tcPr>
          <w:p>
            <w:pPr>
              <w:spacing w:after="0" w:line="264"/>
            </w:pPr>
            <w:r>
              <w:rPr>
                <w:color w:val="222222"/>
                <w:sz w:val="18"/>
                <w:szCs w:val="18"/>
              </w:rPr>
              <w:t xml:space="preserve">Privacy and Compliance Team (review), with Data Science Team and Clinical AI &amp; Machine Learning Team (asset owners).</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Remediation Status</w:t>
            </w:r>
          </w:p>
        </w:tc>
        <w:tc>
          <w:tcPr>
            <w:tcW w:type="dxa" w:w="7480"/>
            <w:tcMar>
              <w:top w:type="dxa" w:w="50"/>
              <w:left w:type="dxa" w:w="90"/>
              <w:bottom w:type="dxa" w:w="50"/>
              <w:right w:type="dxa" w:w="90"/>
            </w:tcMar>
            <w:vAlign w:val="center"/>
          </w:tcPr>
          <w:p>
            <w:pPr>
              <w:spacing w:after="0" w:line="264"/>
            </w:pPr>
            <w:r>
              <w:rPr>
                <w:color w:val="222222"/>
                <w:sz w:val="18"/>
                <w:szCs w:val="18"/>
              </w:rPr>
              <w:t xml:space="preserve">In Progress (Simulated).</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Target Remediation Date</w:t>
            </w:r>
          </w:p>
        </w:tc>
        <w:tc>
          <w:tcPr>
            <w:tcW w:type="dxa" w:w="7480"/>
            <w:tcMar>
              <w:top w:type="dxa" w:w="50"/>
              <w:left w:type="dxa" w:w="90"/>
              <w:bottom w:type="dxa" w:w="50"/>
              <w:right w:type="dxa" w:w="90"/>
            </w:tcMar>
            <w:vAlign w:val="center"/>
          </w:tcPr>
          <w:p>
            <w:pPr>
              <w:spacing w:after="0" w:line="264"/>
            </w:pPr>
            <w:r>
              <w:rPr>
                <w:color w:val="222222"/>
                <w:sz w:val="18"/>
                <w:szCs w:val="18"/>
              </w:rPr>
              <w:t xml:space="preserve">December 31, 2026 (Simulated).</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Validation</w:t>
            </w:r>
          </w:p>
        </w:tc>
        <w:tc>
          <w:tcPr>
            <w:tcW w:type="dxa" w:w="7480"/>
            <w:tcMar>
              <w:top w:type="dxa" w:w="50"/>
              <w:left w:type="dxa" w:w="90"/>
              <w:bottom w:type="dxa" w:w="50"/>
              <w:right w:type="dxa" w:w="90"/>
            </w:tcMar>
            <w:vAlign w:val="center"/>
          </w:tcPr>
          <w:p>
            <w:pPr>
              <w:spacing w:after="0" w:line="264"/>
            </w:pPr>
            <w:r>
              <w:rPr>
                <w:color w:val="222222"/>
                <w:sz w:val="18"/>
                <w:szCs w:val="18"/>
              </w:rPr>
              <w:t xml:space="preserve">Re-confirm the documented necessity mapping and minimization decisions at the next quarterly review.</w:t>
            </w:r>
          </w:p>
        </w:tc>
      </w:tr>
    </w:tbl>
    <w:p>
      <w:pPr>
        <w:spacing w:after="60" w:before="120" w:line="276"/>
        <w:jc w:val="left"/>
      </w:pPr>
      <w:r>
        <w:rPr>
          <w:b/>
          <w:bCs/>
          <w:color w:val="2F5496"/>
          <w:sz w:val="21"/>
          <w:szCs w:val="21"/>
        </w:rPr>
        <w:t xml:space="preserve">PRV-02 — Inconsistent Privacy Safeguards (Finding)</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600"/>
        <w:gridCol w:w="7480"/>
      </w:tblGrid>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Type</w:t>
            </w:r>
          </w:p>
        </w:tc>
        <w:tc>
          <w:tcPr>
            <w:tcW w:type="dxa" w:w="7480"/>
            <w:tcMar>
              <w:top w:type="dxa" w:w="50"/>
              <w:left w:type="dxa" w:w="90"/>
              <w:bottom w:type="dxa" w:w="50"/>
              <w:right w:type="dxa" w:w="90"/>
            </w:tcMar>
            <w:vAlign w:val="center"/>
          </w:tcPr>
          <w:p>
            <w:pPr>
              <w:spacing w:after="0" w:line="264"/>
            </w:pPr>
            <w:r>
              <w:rPr>
                <w:color w:val="222222"/>
                <w:sz w:val="18"/>
                <w:szCs w:val="18"/>
              </w:rPr>
              <w:t xml:space="preserve">Control deficiency (Finding) — integrity &amp; confidentiality / safeguards (Art.5(1)(f), Art.32).</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Condition (Simulated)</w:t>
            </w:r>
          </w:p>
        </w:tc>
        <w:tc>
          <w:tcPr>
            <w:tcW w:type="dxa" w:w="7480"/>
            <w:tcMar>
              <w:top w:type="dxa" w:w="50"/>
              <w:left w:type="dxa" w:w="90"/>
              <w:bottom w:type="dxa" w:w="50"/>
              <w:right w:type="dxa" w:w="90"/>
            </w:tcMar>
            <w:vAlign w:val="center"/>
          </w:tcPr>
          <w:p>
            <w:pPr>
              <w:spacing w:after="0" w:line="264"/>
            </w:pPr>
            <w:r>
              <w:rPr>
                <w:color w:val="222222"/>
                <w:sz w:val="18"/>
                <w:szCs w:val="18"/>
              </w:rPr>
              <w:t xml:space="preserve">The assessment scenario indicates that privacy safeguards (for example, masking or pseudonymization of personal-data elements) are not consistently applied across all in-scope personal data before processing, and that the application of safeguards is not uniformly documented.</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Risk / Impact</w:t>
            </w:r>
          </w:p>
        </w:tc>
        <w:tc>
          <w:tcPr>
            <w:tcW w:type="dxa" w:w="7480"/>
            <w:tcMar>
              <w:top w:type="dxa" w:w="50"/>
              <w:left w:type="dxa" w:w="90"/>
              <w:bottom w:type="dxa" w:w="50"/>
              <w:right w:type="dxa" w:w="90"/>
            </w:tcMar>
            <w:vAlign w:val="center"/>
          </w:tcPr>
          <w:p>
            <w:pPr>
              <w:spacing w:after="0" w:line="264"/>
            </w:pPr>
            <w:r>
              <w:rPr>
                <w:color w:val="222222"/>
                <w:sz w:val="18"/>
                <w:szCs w:val="18"/>
              </w:rPr>
              <w:t xml:space="preserve">Personal data processed without consistent safeguards is more exposed to unauthorized access or misuse; the exposure is heightened for the special-category clinical data in Stream B.</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Severity</w:t>
            </w:r>
          </w:p>
        </w:tc>
        <w:tc>
          <w:tcPr>
            <w:tcW w:type="dxa" w:w="7480"/>
            <w:tcMar>
              <w:top w:type="dxa" w:w="50"/>
              <w:left w:type="dxa" w:w="90"/>
              <w:bottom w:type="dxa" w:w="50"/>
              <w:right w:type="dxa" w:w="90"/>
            </w:tcMar>
            <w:vAlign w:val="center"/>
          </w:tcPr>
          <w:p>
            <w:pPr>
              <w:spacing w:after="0" w:line="264"/>
            </w:pPr>
            <w:r>
              <w:rPr>
                <w:color w:val="222222"/>
                <w:sz w:val="18"/>
                <w:szCs w:val="18"/>
              </w:rPr>
              <w:t xml:space="preserve">Medium.</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Recommendation</w:t>
            </w:r>
          </w:p>
        </w:tc>
        <w:tc>
          <w:tcPr>
            <w:tcW w:type="dxa" w:w="7480"/>
            <w:tcMar>
              <w:top w:type="dxa" w:w="50"/>
              <w:left w:type="dxa" w:w="90"/>
              <w:bottom w:type="dxa" w:w="50"/>
              <w:right w:type="dxa" w:w="90"/>
            </w:tcMar>
            <w:vAlign w:val="center"/>
          </w:tcPr>
          <w:p>
            <w:pPr>
              <w:spacing w:after="0" w:line="264"/>
            </w:pPr>
            <w:r>
              <w:rPr>
                <w:color w:val="222222"/>
                <w:sz w:val="18"/>
                <w:szCs w:val="18"/>
              </w:rPr>
              <w:t xml:space="preserve">Define a consistent safeguard standard (masking / pseudonymization and access restriction) for personal-data elements before processing, apply it across all in-scope datasets, and record the safeguards applied per dataset.</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Owner</w:t>
            </w:r>
          </w:p>
        </w:tc>
        <w:tc>
          <w:tcPr>
            <w:tcW w:type="dxa" w:w="7480"/>
            <w:tcMar>
              <w:top w:type="dxa" w:w="50"/>
              <w:left w:type="dxa" w:w="90"/>
              <w:bottom w:type="dxa" w:w="50"/>
              <w:right w:type="dxa" w:w="90"/>
            </w:tcMar>
            <w:vAlign w:val="center"/>
          </w:tcPr>
          <w:p>
            <w:pPr>
              <w:spacing w:after="0" w:line="264"/>
            </w:pPr>
            <w:r>
              <w:rPr>
                <w:color w:val="222222"/>
                <w:sz w:val="18"/>
                <w:szCs w:val="18"/>
              </w:rPr>
              <w:t xml:space="preserve">Privacy and Compliance Team (standard), with Data Science Team / AI Engineering Team (implementation) and Data Protection Team (clinical backup).</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Remediation Status</w:t>
            </w:r>
          </w:p>
        </w:tc>
        <w:tc>
          <w:tcPr>
            <w:tcW w:type="dxa" w:w="7480"/>
            <w:tcMar>
              <w:top w:type="dxa" w:w="50"/>
              <w:left w:type="dxa" w:w="90"/>
              <w:bottom w:type="dxa" w:w="50"/>
              <w:right w:type="dxa" w:w="90"/>
            </w:tcMar>
            <w:vAlign w:val="center"/>
          </w:tcPr>
          <w:p>
            <w:pPr>
              <w:spacing w:after="0" w:line="264"/>
            </w:pPr>
            <w:r>
              <w:rPr>
                <w:color w:val="222222"/>
                <w:sz w:val="18"/>
                <w:szCs w:val="18"/>
              </w:rPr>
              <w:t xml:space="preserve">In Progress (Simulated).</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Target Remediation Date</w:t>
            </w:r>
          </w:p>
        </w:tc>
        <w:tc>
          <w:tcPr>
            <w:tcW w:type="dxa" w:w="7480"/>
            <w:tcMar>
              <w:top w:type="dxa" w:w="50"/>
              <w:left w:type="dxa" w:w="90"/>
              <w:bottom w:type="dxa" w:w="50"/>
              <w:right w:type="dxa" w:w="90"/>
            </w:tcMar>
            <w:vAlign w:val="center"/>
          </w:tcPr>
          <w:p>
            <w:pPr>
              <w:spacing w:after="0" w:line="264"/>
            </w:pPr>
            <w:r>
              <w:rPr>
                <w:color w:val="222222"/>
                <w:sz w:val="18"/>
                <w:szCs w:val="18"/>
              </w:rPr>
              <w:t xml:space="preserve">December 31, 2026 (Simulated).</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Validation</w:t>
            </w:r>
          </w:p>
        </w:tc>
        <w:tc>
          <w:tcPr>
            <w:tcW w:type="dxa" w:w="7480"/>
            <w:tcMar>
              <w:top w:type="dxa" w:w="50"/>
              <w:left w:type="dxa" w:w="90"/>
              <w:bottom w:type="dxa" w:w="50"/>
              <w:right w:type="dxa" w:w="90"/>
            </w:tcMar>
            <w:vAlign w:val="center"/>
          </w:tcPr>
          <w:p>
            <w:pPr>
              <w:spacing w:after="0" w:line="264"/>
            </w:pPr>
            <w:r>
              <w:rPr>
                <w:color w:val="222222"/>
                <w:sz w:val="18"/>
                <w:szCs w:val="18"/>
              </w:rPr>
              <w:t xml:space="preserve">Review safeguard-application records per dataset at the next quarterly review.</w:t>
            </w:r>
          </w:p>
        </w:tc>
      </w:tr>
    </w:tbl>
    <w:p>
      <w:pPr>
        <w:spacing w:after="60" w:before="120" w:line="276"/>
        <w:jc w:val="left"/>
      </w:pPr>
      <w:r>
        <w:rPr>
          <w:b/>
          <w:bCs/>
          <w:color w:val="2F5496"/>
          <w:sz w:val="21"/>
          <w:szCs w:val="21"/>
        </w:rPr>
        <w:t xml:space="preserve">PRV-03 — Retention / Storage Limitation (Observation)</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600"/>
        <w:gridCol w:w="7480"/>
      </w:tblGrid>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Type</w:t>
            </w:r>
          </w:p>
        </w:tc>
        <w:tc>
          <w:tcPr>
            <w:tcW w:type="dxa" w:w="7480"/>
            <w:tcMar>
              <w:top w:type="dxa" w:w="50"/>
              <w:left w:type="dxa" w:w="90"/>
              <w:bottom w:type="dxa" w:w="50"/>
              <w:right w:type="dxa" w:w="90"/>
            </w:tcMar>
            <w:vAlign w:val="center"/>
          </w:tcPr>
          <w:p>
            <w:pPr>
              <w:spacing w:after="0" w:line="264"/>
            </w:pPr>
            <w:r>
              <w:rPr>
                <w:color w:val="222222"/>
                <w:sz w:val="18"/>
                <w:szCs w:val="18"/>
              </w:rPr>
              <w:t xml:space="preserve">Process-Improvement Observation — not a control exception.</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Condition (Simulated)</w:t>
            </w:r>
          </w:p>
        </w:tc>
        <w:tc>
          <w:tcPr>
            <w:tcW w:type="dxa" w:w="7480"/>
            <w:tcMar>
              <w:top w:type="dxa" w:w="50"/>
              <w:left w:type="dxa" w:w="90"/>
              <w:bottom w:type="dxa" w:w="50"/>
              <w:right w:type="dxa" w:w="90"/>
            </w:tcMar>
            <w:vAlign w:val="center"/>
          </w:tcPr>
          <w:p>
            <w:pPr>
              <w:spacing w:after="0" w:line="264"/>
            </w:pPr>
            <w:r>
              <w:rPr>
                <w:color w:val="222222"/>
                <w:sz w:val="18"/>
                <w:szCs w:val="18"/>
              </w:rPr>
              <w:t xml:space="preserve">The assessment scenario indicates that retention periods for personal data in the in-scope datasets are not yet formally defined or enforced, so data could be retained longer than necessary.</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Risk / Impact</w:t>
            </w:r>
          </w:p>
        </w:tc>
        <w:tc>
          <w:tcPr>
            <w:tcW w:type="dxa" w:w="7480"/>
            <w:tcMar>
              <w:top w:type="dxa" w:w="50"/>
              <w:left w:type="dxa" w:w="90"/>
              <w:bottom w:type="dxa" w:w="50"/>
              <w:right w:type="dxa" w:w="90"/>
            </w:tcMar>
            <w:vAlign w:val="center"/>
          </w:tcPr>
          <w:p>
            <w:pPr>
              <w:spacing w:after="0" w:line="264"/>
            </w:pPr>
            <w:r>
              <w:rPr>
                <w:color w:val="222222"/>
                <w:sz w:val="18"/>
                <w:szCs w:val="18"/>
              </w:rPr>
              <w:t xml:space="preserve">Low. Extended retention of personal data mildly increases exposure and conflicts with the storage-limitation principle; it is not an immediate control failure.</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Severity</w:t>
            </w:r>
          </w:p>
        </w:tc>
        <w:tc>
          <w:tcPr>
            <w:tcW w:type="dxa" w:w="7480"/>
            <w:tcMar>
              <w:top w:type="dxa" w:w="50"/>
              <w:left w:type="dxa" w:w="90"/>
              <w:bottom w:type="dxa" w:w="50"/>
              <w:right w:type="dxa" w:w="90"/>
            </w:tcMar>
            <w:vAlign w:val="center"/>
          </w:tcPr>
          <w:p>
            <w:pPr>
              <w:spacing w:after="0" w:line="264"/>
            </w:pPr>
            <w:r>
              <w:rPr>
                <w:color w:val="222222"/>
                <w:sz w:val="18"/>
                <w:szCs w:val="18"/>
              </w:rPr>
              <w:t xml:space="preserve">Low (Observation).</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Recommendation</w:t>
            </w:r>
          </w:p>
        </w:tc>
        <w:tc>
          <w:tcPr>
            <w:tcW w:type="dxa" w:w="7480"/>
            <w:tcMar>
              <w:top w:type="dxa" w:w="50"/>
              <w:left w:type="dxa" w:w="90"/>
              <w:bottom w:type="dxa" w:w="50"/>
              <w:right w:type="dxa" w:w="90"/>
            </w:tcMar>
            <w:vAlign w:val="center"/>
          </w:tcPr>
          <w:p>
            <w:pPr>
              <w:spacing w:after="0" w:line="264"/>
            </w:pPr>
            <w:r>
              <w:rPr>
                <w:color w:val="222222"/>
                <w:sz w:val="18"/>
                <w:szCs w:val="18"/>
              </w:rPr>
              <w:t xml:space="preserve">Define retention periods for personal data in each in-scope dataset aligned to the processing purpose, implement periodic deletion / review, and formalize a retention schedule.</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Owner</w:t>
            </w:r>
          </w:p>
        </w:tc>
        <w:tc>
          <w:tcPr>
            <w:tcW w:type="dxa" w:w="7480"/>
            <w:tcMar>
              <w:top w:type="dxa" w:w="50"/>
              <w:left w:type="dxa" w:w="90"/>
              <w:bottom w:type="dxa" w:w="50"/>
              <w:right w:type="dxa" w:w="90"/>
            </w:tcMar>
            <w:vAlign w:val="center"/>
          </w:tcPr>
          <w:p>
            <w:pPr>
              <w:spacing w:after="0" w:line="264"/>
            </w:pPr>
            <w:r>
              <w:rPr>
                <w:color w:val="222222"/>
                <w:sz w:val="18"/>
                <w:szCs w:val="18"/>
              </w:rPr>
              <w:t xml:space="preserve">Privacy and Compliance Team.</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Remediation Status</w:t>
            </w:r>
          </w:p>
        </w:tc>
        <w:tc>
          <w:tcPr>
            <w:tcW w:type="dxa" w:w="7480"/>
            <w:tcMar>
              <w:top w:type="dxa" w:w="50"/>
              <w:left w:type="dxa" w:w="90"/>
              <w:bottom w:type="dxa" w:w="50"/>
              <w:right w:type="dxa" w:w="90"/>
            </w:tcMar>
            <w:vAlign w:val="center"/>
          </w:tcPr>
          <w:p>
            <w:pPr>
              <w:spacing w:after="0" w:line="264"/>
            </w:pPr>
            <w:r>
              <w:rPr>
                <w:color w:val="222222"/>
                <w:sz w:val="18"/>
                <w:szCs w:val="18"/>
              </w:rPr>
              <w:t xml:space="preserve">Open (Simulated).</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Target Remediation Date</w:t>
            </w:r>
          </w:p>
        </w:tc>
        <w:tc>
          <w:tcPr>
            <w:tcW w:type="dxa" w:w="7480"/>
            <w:tcMar>
              <w:top w:type="dxa" w:w="50"/>
              <w:left w:type="dxa" w:w="90"/>
              <w:bottom w:type="dxa" w:w="50"/>
              <w:right w:type="dxa" w:w="90"/>
            </w:tcMar>
            <w:vAlign w:val="center"/>
          </w:tcPr>
          <w:p>
            <w:pPr>
              <w:spacing w:after="0" w:line="264"/>
            </w:pPr>
            <w:r>
              <w:rPr>
                <w:color w:val="222222"/>
                <w:sz w:val="18"/>
                <w:szCs w:val="18"/>
              </w:rPr>
              <w:t xml:space="preserve">Q1 2027 (Simulated).</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Validation</w:t>
            </w:r>
          </w:p>
        </w:tc>
        <w:tc>
          <w:tcPr>
            <w:tcW w:type="dxa" w:w="7480"/>
            <w:tcMar>
              <w:top w:type="dxa" w:w="50"/>
              <w:left w:type="dxa" w:w="90"/>
              <w:bottom w:type="dxa" w:w="50"/>
              <w:right w:type="dxa" w:w="90"/>
            </w:tcMar>
            <w:vAlign w:val="center"/>
          </w:tcPr>
          <w:p>
            <w:pPr>
              <w:spacing w:after="0" w:line="264"/>
            </w:pPr>
            <w:r>
              <w:rPr>
                <w:color w:val="222222"/>
                <w:sz w:val="18"/>
                <w:szCs w:val="18"/>
              </w:rPr>
              <w:t xml:space="preserve">Confirm the retention schedule and enforcement evidence at a subsequent review.</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Effect on Rating</w:t>
            </w:r>
          </w:p>
        </w:tc>
        <w:tc>
          <w:tcPr>
            <w:tcW w:type="dxa" w:w="7480"/>
            <w:tcMar>
              <w:top w:type="dxa" w:w="50"/>
              <w:left w:type="dxa" w:w="90"/>
              <w:bottom w:type="dxa" w:w="50"/>
              <w:right w:type="dxa" w:w="90"/>
            </w:tcMar>
            <w:vAlign w:val="center"/>
          </w:tcPr>
          <w:p>
            <w:pPr>
              <w:spacing w:after="0" w:line="264"/>
            </w:pPr>
            <w:r>
              <w:rPr>
                <w:color w:val="222222"/>
                <w:sz w:val="18"/>
                <w:szCs w:val="18"/>
              </w:rPr>
              <w:t xml:space="preserve">Contributes context; the Partially Effective rating rests primarily on PRV-01 and PRV-02.</w:t>
            </w:r>
          </w:p>
        </w:tc>
      </w:tr>
    </w:tbl>
    <w:p>
      <w:pPr>
        <w:spacing w:after="120" w:before="80" w:line="276"/>
        <w:jc w:val="left"/>
      </w:pPr>
      <w:r>
        <w:rPr>
          <w:b/>
          <w:bCs/>
          <w:color w:val="222222"/>
          <w:sz w:val="21"/>
          <w:szCs w:val="21"/>
        </w:rPr>
        <w:t xml:space="preserve">Note: </w:t>
      </w:r>
      <w:r>
        <w:rPr>
          <w:i/>
          <w:iCs/>
          <w:color w:val="222222"/>
          <w:sz w:val="21"/>
          <w:szCs w:val="21"/>
        </w:rPr>
        <w:t xml:space="preserve">No actual data inventory, field-level review, or configuration inspection was performed. Findings, severities, remediation statuses, and target dates are simulated planning values representing the scenario state. The evidence that would substantiate or refute each finding is listed in Section 15.</w:t>
      </w:r>
    </w:p>
    <w:p>
      <w:pPr>
        <w:pStyle w:val="Heading1"/>
        <w:pBdr>
          <w:bottom w:val="single" w:color="B4BED4" w:sz="6" w:space="3"/>
        </w:pBdr>
      </w:pPr>
      <w:r>
        <w:t xml:space="preserve">13. Effectiveness Determination</w:t>
      </w:r>
    </w:p>
    <w:p>
      <w:pPr>
        <w:spacing w:after="120" w:before="0" w:line="276"/>
        <w:jc w:val="left"/>
      </w:pPr>
      <w:r>
        <w:rPr>
          <w:color w:val="222222"/>
          <w:sz w:val="21"/>
          <w:szCs w:val="21"/>
        </w:rPr>
        <w:t xml:space="preserve">The rating below is derived from the design of the control and the operating deficiencies identified during the simulated assessment.</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600"/>
        <w:gridCol w:w="7480"/>
      </w:tblGrid>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Design</w:t>
            </w:r>
          </w:p>
        </w:tc>
        <w:tc>
          <w:tcPr>
            <w:tcW w:type="dxa" w:w="7480"/>
            <w:tcMar>
              <w:top w:type="dxa" w:w="50"/>
              <w:left w:type="dxa" w:w="90"/>
              <w:bottom w:type="dxa" w:w="50"/>
              <w:right w:type="dxa" w:w="90"/>
            </w:tcMar>
            <w:vAlign w:val="center"/>
          </w:tcPr>
          <w:p>
            <w:pPr>
              <w:spacing w:after="0" w:line="264"/>
            </w:pPr>
            <w:r>
              <w:rPr>
                <w:color w:val="222222"/>
                <w:sz w:val="18"/>
                <w:szCs w:val="18"/>
              </w:rPr>
              <w:t xml:space="preserve">A dataset privacy-review process is defined and operating on a quarterly cadence — datasets are reviewed for personal information and privacy safeguards are applied, with a lawful basis and purpose established (Art.5 principles (a), (b), (d) and accountability assessed as met). On this basis the control is not rated Ineffective.</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Operating deficiencies</w:t>
            </w:r>
          </w:p>
        </w:tc>
        <w:tc>
          <w:tcPr>
            <w:tcW w:type="dxa" w:w="7480"/>
            <w:tcMar>
              <w:top w:type="dxa" w:w="50"/>
              <w:left w:type="dxa" w:w="90"/>
              <w:bottom w:type="dxa" w:w="50"/>
              <w:right w:type="dxa" w:w="90"/>
            </w:tcMar>
            <w:vAlign w:val="center"/>
          </w:tcPr>
          <w:p>
            <w:pPr>
              <w:spacing w:after="0" w:line="264"/>
            </w:pPr>
            <w:r>
              <w:rPr>
                <w:color w:val="222222"/>
                <w:sz w:val="18"/>
                <w:szCs w:val="18"/>
              </w:rPr>
              <w:t xml:space="preserve">The assessment identified a data-minimization documentation gap (PRV-01) and inconsistent application of privacy safeguards (PRV-02), with an additional storage-limitation observation (PRV-03). The control does not consistently ensure that only necessary personal data is retained or that safeguards are uniformly applied. On this basis the control is not rated Effective.</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Overall conclusion</w:t>
            </w:r>
          </w:p>
        </w:tc>
        <w:tc>
          <w:tcPr>
            <w:tcW w:type="dxa" w:w="7480"/>
            <w:tcMar>
              <w:top w:type="dxa" w:w="50"/>
              <w:left w:type="dxa" w:w="90"/>
              <w:bottom w:type="dxa" w:w="50"/>
              <w:right w:type="dxa" w:w="90"/>
            </w:tcMar>
            <w:vAlign w:val="center"/>
          </w:tcPr>
          <w:p>
            <w:pPr>
              <w:spacing w:after="0" w:line="264"/>
            </w:pPr>
            <w:r>
              <w:rPr>
                <w:b/>
                <w:bCs/>
                <w:color w:val="222222"/>
                <w:sz w:val="18"/>
                <w:szCs w:val="18"/>
              </w:rPr>
              <w:t xml:space="preserve">Partially Effective for the Q3 2026 assessment period.</w:t>
            </w:r>
          </w:p>
        </w:tc>
      </w:tr>
    </w:tbl>
    <w:p>
      <w:pPr>
        <w:pStyle w:val="Heading1"/>
        <w:pBdr>
          <w:bottom w:val="single" w:color="B4BED4" w:sz="6" w:space="3"/>
        </w:pBdr>
      </w:pPr>
      <w:r>
        <w:t xml:space="preserve">14. Conclusion</w:t>
      </w:r>
    </w:p>
    <w:p>
      <w:pPr>
        <w:spacing w:after="120" w:before="0" w:line="276"/>
        <w:jc w:val="left"/>
      </w:pPr>
      <w:r>
        <w:rPr>
          <w:color w:val="222222"/>
          <w:sz w:val="21"/>
          <w:szCs w:val="21"/>
        </w:rPr>
        <w:t xml:space="preserve">Within this simulated GRC scenario, the documented assessment results are consistent with the Partially Effective rating recorded for CTL-006 in the MindfulAI Labs Control Register. The identified deficiencies — incomplete documentation of data minimization and inconsistent application of privacy safeguards, together with the retention / storage-limitation observation — demonstrate why the simulated scenario result is Partially Effective rather than Effective. No actual data inventory, field-level review, or configuration inspection was performed; the results are illustrative and do not represent an assessment performed against an actual dataset or system, nor a formally approved DPIA.</w:t>
      </w:r>
    </w:p>
    <w:p>
      <w:pPr>
        <w:spacing w:after="120" w:before="0" w:line="276"/>
        <w:jc w:val="left"/>
      </w:pPr>
      <w:r>
        <w:rPr>
          <w:b/>
          <w:bCs/>
          <w:color w:val="222222"/>
          <w:sz w:val="21"/>
          <w:szCs w:val="21"/>
        </w:rPr>
        <w:t xml:space="preserve">Residual risk. </w:t>
      </w:r>
      <w:r>
        <w:rPr>
          <w:color w:val="222222"/>
          <w:sz w:val="21"/>
          <w:szCs w:val="21"/>
        </w:rPr>
        <w:t xml:space="preserve">Residual risk remains elevated until PRV-01 and PRV-02 are remediated, as minimization and safeguard gaps mean unnecessary personal data may persist and personal data may be processed without consistent safeguards — with heightened potential impact for the special-category clinical data in Stream B. Residual risk is expected to reduce upon completion of the remediation actions and re-assessment. The remediation actions in Section 12 and the risk-register coverage gap in Section 5 are carried to the consolidated GRC Findings &amp; Remediation Tracker.</w:t>
      </w:r>
    </w:p>
    <w:p>
      <w:pPr>
        <w:pStyle w:val="Heading1"/>
        <w:pBdr>
          <w:bottom w:val="single" w:color="B4BED4" w:sz="6" w:space="3"/>
        </w:pBdr>
      </w:pPr>
      <w:r>
        <w:t xml:space="preserve">15. Simulated Evidence Requirements — Not Provided</w:t>
      </w:r>
    </w:p>
    <w:p>
      <w:pPr>
        <w:spacing w:after="120" w:before="0" w:line="276"/>
        <w:jc w:val="left"/>
      </w:pPr>
      <w:r>
        <w:rPr>
          <w:color w:val="222222"/>
          <w:sz w:val="21"/>
          <w:szCs w:val="21"/>
        </w:rPr>
        <w:t xml:space="preserve">In a live engagement, the following evidence would be requested and retained to support the assessment conclusions. For this simulated artifact, no such evidence has been generated or attached.</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6480"/>
        <w:gridCol w:w="3600"/>
      </w:tblGrid>
      <w:tr>
        <w:trPr>
          <w:cantSplit/>
          <w:tblHeader/>
        </w:trPr>
        <w:tc>
          <w:tcPr>
            <w:tcW w:type="dxa" w:w="6480"/>
            <w:shd w:fill="1F3864" w:color="auto" w:val="clear"/>
            <w:tcMar>
              <w:top w:type="dxa" w:w="50"/>
              <w:left w:type="dxa" w:w="90"/>
              <w:bottom w:type="dxa" w:w="50"/>
              <w:right w:type="dxa" w:w="90"/>
            </w:tcMar>
            <w:vAlign w:val="center"/>
          </w:tcPr>
          <w:p>
            <w:pPr>
              <w:spacing w:after="0"/>
              <w:jc w:val="left"/>
            </w:pPr>
            <w:r>
              <w:rPr>
                <w:b/>
                <w:bCs/>
                <w:color w:val="FFFFFF"/>
                <w:sz w:val="18"/>
                <w:szCs w:val="18"/>
              </w:rPr>
              <w:t xml:space="preserve">Evidence Item</w:t>
            </w:r>
          </w:p>
        </w:tc>
        <w:tc>
          <w:tcPr>
            <w:tcW w:type="dxa" w:w="3600"/>
            <w:shd w:fill="1F3864" w:color="auto" w:val="clear"/>
            <w:tcMar>
              <w:top w:type="dxa" w:w="50"/>
              <w:left w:type="dxa" w:w="90"/>
              <w:bottom w:type="dxa" w:w="50"/>
              <w:right w:type="dxa" w:w="90"/>
            </w:tcMar>
            <w:vAlign w:val="center"/>
          </w:tcPr>
          <w:p>
            <w:pPr>
              <w:spacing w:after="0"/>
              <w:jc w:val="left"/>
            </w:pPr>
            <w:r>
              <w:rPr>
                <w:b/>
                <w:bCs/>
                <w:color w:val="FFFFFF"/>
                <w:sz w:val="18"/>
                <w:szCs w:val="18"/>
              </w:rPr>
              <w:t xml:space="preserve">Status</w:t>
            </w:r>
          </w:p>
        </w:tc>
      </w:tr>
      <w:tr>
        <w:trPr>
          <w:cantSplit/>
        </w:trPr>
        <w:tc>
          <w:tcPr>
            <w:tcW w:type="dxa" w:w="648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Data inventory / field-level data dictionary for each in-scope dataset</w:t>
            </w:r>
          </w:p>
        </w:tc>
        <w:tc>
          <w:tcPr>
            <w:tcW w:type="dxa" w:w="36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Evidence Required — Not Provided (Simulated Requirement)</w:t>
            </w:r>
          </w:p>
        </w:tc>
      </w:tr>
      <w:tr>
        <w:trPr>
          <w:cantSplit/>
        </w:trPr>
        <w:tc>
          <w:tcPr>
            <w:tcW w:type="dxa" w:w="648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Records of processing activities (ROPA) for the in-scope processing</w:t>
            </w:r>
          </w:p>
        </w:tc>
        <w:tc>
          <w:tcPr>
            <w:tcW w:type="dxa" w:w="36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Evidence Required — Not Provided (Simulated Requirement)</w:t>
            </w:r>
          </w:p>
        </w:tc>
      </w:tr>
      <w:tr>
        <w:trPr>
          <w:cantSplit/>
        </w:trPr>
        <w:tc>
          <w:tcPr>
            <w:tcW w:type="dxa" w:w="648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Quarterly data-minimization review records and necessity justifications</w:t>
            </w:r>
          </w:p>
        </w:tc>
        <w:tc>
          <w:tcPr>
            <w:tcW w:type="dxa" w:w="36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Evidence Required — Not Provided (Simulated Requirement)</w:t>
            </w:r>
          </w:p>
        </w:tc>
      </w:tr>
      <w:tr>
        <w:trPr>
          <w:cantSplit/>
        </w:trPr>
        <w:tc>
          <w:tcPr>
            <w:tcW w:type="dxa" w:w="648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Masking / pseudonymization configuration and safeguard-application records</w:t>
            </w:r>
          </w:p>
        </w:tc>
        <w:tc>
          <w:tcPr>
            <w:tcW w:type="dxa" w:w="36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Evidence Required — Not Provided (Simulated Requirement)</w:t>
            </w:r>
          </w:p>
        </w:tc>
      </w:tr>
      <w:tr>
        <w:trPr>
          <w:cantSplit/>
        </w:trPr>
        <w:tc>
          <w:tcPr>
            <w:tcW w:type="dxa" w:w="648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Retention schedule and deletion / enforcement evidence</w:t>
            </w:r>
          </w:p>
        </w:tc>
        <w:tc>
          <w:tcPr>
            <w:tcW w:type="dxa" w:w="36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Evidence Required — Not Provided (Simulated Requirement)</w:t>
            </w:r>
          </w:p>
        </w:tc>
      </w:tr>
      <w:tr>
        <w:trPr>
          <w:cantSplit/>
        </w:trPr>
        <w:tc>
          <w:tcPr>
            <w:tcW w:type="dxa" w:w="648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Lawful-basis / purpose documentation and data-subject transparency notices</w:t>
            </w:r>
          </w:p>
        </w:tc>
        <w:tc>
          <w:tcPr>
            <w:tcW w:type="dxa" w:w="36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Evidence Required — Not Provided (Simulated Requirement)</w:t>
            </w:r>
          </w:p>
        </w:tc>
      </w:tr>
      <w:tr>
        <w:trPr>
          <w:cantSplit/>
        </w:trPr>
        <w:tc>
          <w:tcPr>
            <w:tcW w:type="dxa" w:w="648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Special-category (clinical) data safeguards and any applicable authorization / consent records</w:t>
            </w:r>
          </w:p>
        </w:tc>
        <w:tc>
          <w:tcPr>
            <w:tcW w:type="dxa" w:w="36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Evidence Required — Not Provided (Simulated Requirement)</w:t>
            </w:r>
          </w:p>
        </w:tc>
      </w:tr>
    </w:tbl>
    <w:p>
      <w:pPr>
        <w:pStyle w:val="Heading1"/>
        <w:pBdr>
          <w:bottom w:val="single" w:color="B4BED4" w:sz="6" w:space="3"/>
        </w:pBdr>
      </w:pPr>
      <w:r>
        <w:t xml:space="preserve">16. Reviewer / Sign-Off — Not Applicable (Portfolio Simulation)</w:t>
      </w:r>
    </w:p>
    <w:p>
      <w:pPr>
        <w:spacing w:after="120" w:before="0" w:line="276"/>
        <w:jc w:val="left"/>
      </w:pPr>
      <w:r>
        <w:rPr>
          <w:i/>
          <w:iCs/>
          <w:color w:val="222222"/>
          <w:sz w:val="19"/>
          <w:szCs w:val="19"/>
        </w:rPr>
        <w:t xml:space="preserve">Sign-off is not applicable for this portfolio simulation. The blank sign-off table below illustrates the review and approval fields the real artifact would capture.</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000"/>
        <w:gridCol w:w="2580"/>
        <w:gridCol w:w="1900"/>
        <w:gridCol w:w="1200"/>
        <w:gridCol w:w="1400"/>
      </w:tblGrid>
      <w:tr>
        <w:trPr>
          <w:cantSplit/>
          <w:tblHeader/>
        </w:trPr>
        <w:tc>
          <w:tcPr>
            <w:tcW w:type="dxa" w:w="300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Role</w:t>
            </w:r>
          </w:p>
        </w:tc>
        <w:tc>
          <w:tcPr>
            <w:tcW w:type="dxa" w:w="258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Name</w:t>
            </w:r>
          </w:p>
        </w:tc>
        <w:tc>
          <w:tcPr>
            <w:tcW w:type="dxa" w:w="190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Title</w:t>
            </w:r>
          </w:p>
        </w:tc>
        <w:tc>
          <w:tcPr>
            <w:tcW w:type="dxa" w:w="120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Signature</w:t>
            </w:r>
          </w:p>
        </w:tc>
        <w:tc>
          <w:tcPr>
            <w:tcW w:type="dxa" w:w="140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Date</w:t>
            </w:r>
          </w:p>
        </w:tc>
      </w:tr>
      <w:tr>
        <w:trPr>
          <w:cantSplit/>
          <w:trHeight w:val="500" w:hRule="atLeast"/>
        </w:trPr>
        <w:tc>
          <w:tcPr>
            <w:tcW w:type="dxa" w:w="3000"/>
            <w:shd w:fill="DCE3F1" w:color="auto" w:val="clear"/>
            <w:tcMar>
              <w:top w:type="dxa" w:w="50"/>
              <w:left w:type="dxa" w:w="90"/>
              <w:bottom w:type="dxa" w:w="50"/>
              <w:right w:type="dxa" w:w="90"/>
            </w:tcMar>
            <w:vAlign w:val="top"/>
          </w:tcPr>
          <w:p>
            <w:pPr>
              <w:spacing w:after="0" w:line="264"/>
              <w:jc w:val="left"/>
            </w:pPr>
            <w:r>
              <w:rPr>
                <w:b/>
                <w:bCs/>
                <w:i w:val="false"/>
                <w:iCs w:val="false"/>
                <w:color w:val="1F3864"/>
                <w:sz w:val="16"/>
                <w:szCs w:val="16"/>
              </w:rPr>
              <w:t xml:space="preserve">Assessment Performed By (GRC Analyst)</w:t>
            </w:r>
          </w:p>
        </w:tc>
        <w:tc>
          <w:tcPr>
            <w:tcW w:type="dxa" w:w="258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c>
          <w:tcPr>
            <w:tcW w:type="dxa" w:w="19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c>
          <w:tcPr>
            <w:tcW w:type="dxa" w:w="12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c>
          <w:tcPr>
            <w:tcW w:type="dxa" w:w="14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r>
      <w:tr>
        <w:trPr>
          <w:cantSplit/>
          <w:trHeight w:val="500" w:hRule="atLeast"/>
        </w:trPr>
        <w:tc>
          <w:tcPr>
            <w:tcW w:type="dxa" w:w="3000"/>
            <w:shd w:fill="DCE3F1" w:color="auto" w:val="clear"/>
            <w:tcMar>
              <w:top w:type="dxa" w:w="50"/>
              <w:left w:type="dxa" w:w="90"/>
              <w:bottom w:type="dxa" w:w="50"/>
              <w:right w:type="dxa" w:w="90"/>
            </w:tcMar>
            <w:vAlign w:val="top"/>
          </w:tcPr>
          <w:p>
            <w:pPr>
              <w:spacing w:after="0" w:line="264"/>
              <w:jc w:val="left"/>
            </w:pPr>
            <w:r>
              <w:rPr>
                <w:b/>
                <w:bCs/>
                <w:i w:val="false"/>
                <w:iCs w:val="false"/>
                <w:color w:val="1F3864"/>
                <w:sz w:val="16"/>
                <w:szCs w:val="16"/>
              </w:rPr>
              <w:t xml:space="preserve">Control Owner Attestation (Privacy and Compliance Team)</w:t>
            </w:r>
          </w:p>
        </w:tc>
        <w:tc>
          <w:tcPr>
            <w:tcW w:type="dxa" w:w="258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c>
          <w:tcPr>
            <w:tcW w:type="dxa" w:w="19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c>
          <w:tcPr>
            <w:tcW w:type="dxa" w:w="12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c>
          <w:tcPr>
            <w:tcW w:type="dxa" w:w="14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r>
      <w:tr>
        <w:trPr>
          <w:cantSplit/>
          <w:trHeight w:val="500" w:hRule="atLeast"/>
        </w:trPr>
        <w:tc>
          <w:tcPr>
            <w:tcW w:type="dxa" w:w="3000"/>
            <w:shd w:fill="DCE3F1" w:color="auto" w:val="clear"/>
            <w:tcMar>
              <w:top w:type="dxa" w:w="50"/>
              <w:left w:type="dxa" w:w="90"/>
              <w:bottom w:type="dxa" w:w="50"/>
              <w:right w:type="dxa" w:w="90"/>
            </w:tcMar>
            <w:vAlign w:val="top"/>
          </w:tcPr>
          <w:p>
            <w:pPr>
              <w:spacing w:after="0" w:line="264"/>
              <w:jc w:val="left"/>
            </w:pPr>
            <w:r>
              <w:rPr>
                <w:b/>
                <w:bCs/>
                <w:i w:val="false"/>
                <w:iCs w:val="false"/>
                <w:color w:val="1F3864"/>
                <w:sz w:val="16"/>
                <w:szCs w:val="16"/>
              </w:rPr>
              <w:t xml:space="preserve">Reviewer / Quality Assurance</w:t>
            </w:r>
          </w:p>
        </w:tc>
        <w:tc>
          <w:tcPr>
            <w:tcW w:type="dxa" w:w="258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c>
          <w:tcPr>
            <w:tcW w:type="dxa" w:w="19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c>
          <w:tcPr>
            <w:tcW w:type="dxa" w:w="12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c>
          <w:tcPr>
            <w:tcW w:type="dxa" w:w="14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r>
      <w:tr>
        <w:trPr>
          <w:cantSplit/>
          <w:trHeight w:val="500" w:hRule="atLeast"/>
        </w:trPr>
        <w:tc>
          <w:tcPr>
            <w:tcW w:type="dxa" w:w="3000"/>
            <w:shd w:fill="DCE3F1" w:color="auto" w:val="clear"/>
            <w:tcMar>
              <w:top w:type="dxa" w:w="50"/>
              <w:left w:type="dxa" w:w="90"/>
              <w:bottom w:type="dxa" w:w="50"/>
              <w:right w:type="dxa" w:w="90"/>
            </w:tcMar>
            <w:vAlign w:val="top"/>
          </w:tcPr>
          <w:p>
            <w:pPr>
              <w:spacing w:after="0" w:line="264"/>
              <w:jc w:val="left"/>
            </w:pPr>
            <w:r>
              <w:rPr>
                <w:b/>
                <w:bCs/>
                <w:i w:val="false"/>
                <w:iCs w:val="false"/>
                <w:color w:val="1F3864"/>
                <w:sz w:val="16"/>
                <w:szCs w:val="16"/>
              </w:rPr>
              <w:t xml:space="preserve">Approver</w:t>
            </w:r>
          </w:p>
        </w:tc>
        <w:tc>
          <w:tcPr>
            <w:tcW w:type="dxa" w:w="258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c>
          <w:tcPr>
            <w:tcW w:type="dxa" w:w="19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c>
          <w:tcPr>
            <w:tcW w:type="dxa" w:w="12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c>
          <w:tcPr>
            <w:tcW w:type="dxa" w:w="14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r>
    </w:tbl>
    <w:p>
      <w:pPr>
        <w:pStyle w:val="Heading1"/>
        <w:pBdr>
          <w:bottom w:val="single" w:color="B4BED4" w:sz="6" w:space="3"/>
        </w:pBdr>
      </w:pPr>
      <w:r>
        <w:t xml:space="preserve">17. Revision History</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150"/>
        <w:gridCol w:w="1700"/>
        <w:gridCol w:w="4930"/>
        <w:gridCol w:w="2300"/>
      </w:tblGrid>
      <w:tr>
        <w:trPr>
          <w:cantSplit/>
          <w:tblHeader/>
        </w:trPr>
        <w:tc>
          <w:tcPr>
            <w:tcW w:type="dxa" w:w="1150"/>
            <w:shd w:fill="1F3864" w:color="auto" w:val="clear"/>
            <w:tcMar>
              <w:top w:type="dxa" w:w="50"/>
              <w:left w:type="dxa" w:w="90"/>
              <w:bottom w:type="dxa" w:w="50"/>
              <w:right w:type="dxa" w:w="90"/>
            </w:tcMar>
            <w:vAlign w:val="center"/>
          </w:tcPr>
          <w:p>
            <w:pPr>
              <w:spacing w:after="0"/>
              <w:jc w:val="left"/>
            </w:pPr>
            <w:r>
              <w:rPr>
                <w:b/>
                <w:bCs/>
                <w:color w:val="FFFFFF"/>
                <w:sz w:val="18"/>
                <w:szCs w:val="18"/>
              </w:rPr>
              <w:t xml:space="preserve">Version</w:t>
            </w:r>
          </w:p>
        </w:tc>
        <w:tc>
          <w:tcPr>
            <w:tcW w:type="dxa" w:w="1700"/>
            <w:shd w:fill="1F3864" w:color="auto" w:val="clear"/>
            <w:tcMar>
              <w:top w:type="dxa" w:w="50"/>
              <w:left w:type="dxa" w:w="90"/>
              <w:bottom w:type="dxa" w:w="50"/>
              <w:right w:type="dxa" w:w="90"/>
            </w:tcMar>
            <w:vAlign w:val="center"/>
          </w:tcPr>
          <w:p>
            <w:pPr>
              <w:spacing w:after="0"/>
              <w:jc w:val="left"/>
            </w:pPr>
            <w:r>
              <w:rPr>
                <w:b/>
                <w:bCs/>
                <w:color w:val="FFFFFF"/>
                <w:sz w:val="18"/>
                <w:szCs w:val="18"/>
              </w:rPr>
              <w:t xml:space="preserve">Date</w:t>
            </w:r>
          </w:p>
        </w:tc>
        <w:tc>
          <w:tcPr>
            <w:tcW w:type="dxa" w:w="4930"/>
            <w:shd w:fill="1F3864" w:color="auto" w:val="clear"/>
            <w:tcMar>
              <w:top w:type="dxa" w:w="50"/>
              <w:left w:type="dxa" w:w="90"/>
              <w:bottom w:type="dxa" w:w="50"/>
              <w:right w:type="dxa" w:w="90"/>
            </w:tcMar>
            <w:vAlign w:val="center"/>
          </w:tcPr>
          <w:p>
            <w:pPr>
              <w:spacing w:after="0"/>
              <w:jc w:val="left"/>
            </w:pPr>
            <w:r>
              <w:rPr>
                <w:b/>
                <w:bCs/>
                <w:color w:val="FFFFFF"/>
                <w:sz w:val="18"/>
                <w:szCs w:val="18"/>
              </w:rPr>
              <w:t xml:space="preserve">Description</w:t>
            </w:r>
          </w:p>
        </w:tc>
        <w:tc>
          <w:tcPr>
            <w:tcW w:type="dxa" w:w="2300"/>
            <w:shd w:fill="1F3864" w:color="auto" w:val="clear"/>
            <w:tcMar>
              <w:top w:type="dxa" w:w="50"/>
              <w:left w:type="dxa" w:w="90"/>
              <w:bottom w:type="dxa" w:w="50"/>
              <w:right w:type="dxa" w:w="90"/>
            </w:tcMar>
            <w:vAlign w:val="center"/>
          </w:tcPr>
          <w:p>
            <w:pPr>
              <w:spacing w:after="0"/>
              <w:jc w:val="left"/>
            </w:pPr>
            <w:r>
              <w:rPr>
                <w:b/>
                <w:bCs/>
                <w:color w:val="FFFFFF"/>
                <w:sz w:val="18"/>
                <w:szCs w:val="18"/>
              </w:rPr>
              <w:t xml:space="preserve">Author</w:t>
            </w:r>
          </w:p>
        </w:tc>
      </w:tr>
      <w:tr>
        <w:trPr>
          <w:cantSplit/>
        </w:trPr>
        <w:tc>
          <w:tcPr>
            <w:tcW w:type="dxa" w:w="115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1.0</w:t>
            </w:r>
          </w:p>
        </w:tc>
        <w:tc>
          <w:tcPr>
            <w:tcW w:type="dxa" w:w="17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September 26, 2026</w:t>
            </w:r>
          </w:p>
        </w:tc>
        <w:tc>
          <w:tcPr>
            <w:tcW w:type="dxa" w:w="493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Initial creation of the AI Privacy Impact Assessment (DPIA-Aligned) supporting CTL-006 (GDPR Art.5).</w:t>
            </w:r>
          </w:p>
        </w:tc>
        <w:tc>
          <w:tcPr>
            <w:tcW w:type="dxa" w:w="23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Maxine Jones, GRC Analyst</w:t>
            </w:r>
          </w:p>
        </w:tc>
      </w:tr>
    </w:tbl>
    <w:p>
      <w:pPr>
        <w:spacing w:after="160"/>
      </w:pPr>
      <w:r>
        <w:rPr>
          <w:color w:val="222222"/>
          <w:sz w:val="21"/>
          <w:szCs w:val="21"/>
        </w:rPr>
        <w:t xml:space="preserve"/>
      </w:r>
    </w:p>
    <w:tbl>
      <w:tblPr>
        <w:tblW w:type="dxa" w:w="10080"/>
        <w:tblBorders>
          <w:top w:val="single" w:color="AAB4CC" w:sz="4"/>
          <w:left w:val="single" w:color="AAB4CC" w:sz="4"/>
          <w:bottom w:val="single" w:color="AAB4CC" w:sz="4"/>
          <w:right w:val="single" w:color="AAB4CC" w:sz="4"/>
          <w:insideH w:val="none"/>
          <w:insideV w:val="none"/>
        </w:tblBorders>
        <w:tblLayout w:type="fixed"/>
      </w:tblPr>
      <w:tblGrid>
        <w:gridCol w:w="10080"/>
      </w:tblGrid>
      <w:tr>
        <w:trPr>
          <w:cantSplit/>
        </w:trPr>
        <w:tc>
          <w:tcPr>
            <w:tcW w:type="dxa" w:w="10080"/>
            <w:shd w:fill="E4E8F4" w:color="auto" w:val="clear"/>
            <w:tcMar>
              <w:top w:type="dxa" w:w="120"/>
              <w:left w:type="dxa" w:w="150"/>
              <w:bottom w:type="dxa" w:w="120"/>
              <w:right w:type="dxa" w:w="150"/>
            </w:tcMar>
          </w:tcPr>
          <w:p>
            <w:pPr>
              <w:spacing w:after="0" w:line="276"/>
            </w:pPr>
            <w:r>
              <w:rPr>
                <w:b/>
                <w:bCs/>
                <w:color w:val="2F5496"/>
                <w:sz w:val="18"/>
                <w:szCs w:val="18"/>
              </w:rPr>
              <w:t xml:space="preserve">Portfolio Simulation Disclosure — </w:t>
            </w:r>
            <w:r>
              <w:rPr>
                <w:i/>
                <w:iCs/>
                <w:color w:val="222222"/>
                <w:sz w:val="18"/>
                <w:szCs w:val="18"/>
              </w:rPr>
              <w:t xml:space="preserve">This artifact was created as part of a simulated GRC practice environment for educational and portfolio purposes and does not represent the records or control environment of an actual organization.</w:t>
            </w:r>
          </w:p>
        </w:tc>
      </w:tr>
    </w:tbl>
    <w:sectPr>
      <w:headerReference w:type="default" r:id="rId7"/>
      <w:footerReference w:type="default" r:id="rId8"/>
      <w:pgSz w:w="12240" w:h="15840" w:orient="portrait"/>
      <w:pgMar w:top="1300" w:right="1080" w:bottom="1080" w:left="1080" w:header="68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0"/>
      <w:jc w:val="center"/>
    </w:pPr>
    <w:r>
      <w:rPr>
        <w:color w:val="7F7F7F"/>
        <w:sz w:val="16"/>
        <w:szCs w:val="16"/>
      </w:rPr>
      <w:t xml:space="preserve">MAL-PIA-006   |   Confidential — Internal Use Only   |   Page </w:t>
    </w:r>
    <w:r>
      <w:rPr>
        <w:b/>
        <w:bCs/>
        <w:color w:val="7F7F7F"/>
        <w:sz w:val="16"/>
        <w:szCs w:val="16"/>
      </w:rPr>
      <w:fldChar w:fldCharType="begin"/>
      <w:instrText xml:space="preserve">PAGE</w:instrText>
      <w:fldChar w:fldCharType="separate"/>
      <w:fldChar w:fldCharType="end"/>
    </w:r>
    <w:r>
      <w:rPr>
        <w:color w:val="7F7F7F"/>
        <w:sz w:val="16"/>
        <w:szCs w:val="16"/>
      </w:rPr>
      <w:t xml:space="preserve"> of </w:t>
    </w:r>
    <w:r>
      <w:rPr>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7F7F7F"/>
        <w:sz w:val="16"/>
        <w:szCs w:val="16"/>
      </w:rPr>
      <w:t xml:space="preserve">MindfulAI Labs — Simulated GRC Practice Environment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Calibri" w:cs="Calibri" w:eastAsia="Calibri" w:hAnsi="Calibri"/>
      <w:b/>
      <w:bCs/>
      <w:color w:val="2F5496"/>
      <w:sz w:val="27"/>
      <w:szCs w:val="27"/>
    </w:rPr>
  </w:style>
  <w:style w:type="paragraph" w:styleId="Heading2">
    <w:name w:val="Heading 2"/>
    <w:basedOn w:val="Normal"/>
    <w:next w:val="Normal"/>
    <w:qFormat/>
    <w:pPr>
      <w:keepNext/>
      <w:spacing w:after="50" w:before="160"/>
      <w:outlineLvl w:val="1"/>
    </w:pPr>
    <w:rPr>
      <w:rFonts w:ascii="Calibri" w:cs="Calibri" w:eastAsia="Calibri" w:hAnsi="Calibri"/>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MAL-PIA-006 AI Privacy Impact Assessment (DPIA-Aligned)</dc:title>
  <dc:creator>Maxine Jones, GRC Analyst</dc:creator>
  <dc:description>Simulated GRC portfolio artifact — MindfulAI Labs</dc:description>
  <cp:lastModifiedBy>Un-named</cp:lastModifiedBy>
  <cp:revision>1</cp:revision>
  <dcterms:created xsi:type="dcterms:W3CDTF">2026-09-26T05:53:44.774Z</dcterms:created>
  <dcterms:modified xsi:type="dcterms:W3CDTF">2026-09-26T05:53:44.784Z</dcterms:modified>
</cp:coreProperties>
</file>

<file path=docProps/custom.xml><?xml version="1.0" encoding="utf-8"?>
<Properties xmlns="http://schemas.openxmlformats.org/officeDocument/2006/custom-properties" xmlns:vt="http://schemas.openxmlformats.org/officeDocument/2006/docPropsVTypes"/>
</file>