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jc w:val="left"/>
      </w:pPr>
      <w:r>
        <w:rPr>
          <w:b/>
          <w:bCs/>
          <w:color w:val="2F5496"/>
          <w:sz w:val="26"/>
          <w:szCs w:val="26"/>
        </w:rPr>
        <w:t xml:space="preserve">MindfulAI Labs</w:t>
      </w:r>
    </w:p>
    <w:p>
      <w:pPr>
        <w:spacing w:after="60" w:before="0" w:line="276"/>
        <w:jc w:val="left"/>
      </w:pPr>
      <w:r>
        <w:rPr>
          <w:i/>
          <w:iCs/>
          <w:color w:val="7F7F7F"/>
          <w:sz w:val="19"/>
          <w:szCs w:val="19"/>
        </w:rPr>
        <w:t xml:space="preserve">Simulated GRC Practice Environment</w:t>
      </w:r>
    </w:p>
    <w:p>
      <w:pPr>
        <w:pBdr>
          <w:bottom w:val="single" w:color="1F3864" w:sz="12" w:space="4"/>
        </w:pBdr>
        <w:spacing w:after="40"/>
      </w:pPr>
      <w:r>
        <w:rPr>
          <w:b/>
          <w:bCs/>
          <w:color w:val="1A1A1A"/>
          <w:sz w:val="38"/>
          <w:szCs w:val="38"/>
        </w:rPr>
        <w:t xml:space="preserve">Privileged Access &amp; Multi-Factor Authentication Security Standard</w:t>
      </w:r>
    </w:p>
    <w:p>
      <w:pPr>
        <w:spacing w:after="220" w:before="40" w:line="276"/>
        <w:jc w:val="left"/>
      </w:pPr>
      <w:r>
        <w:rPr>
          <w:color w:val="7F7F7F"/>
          <w:sz w:val="20"/>
          <w:szCs w:val="20"/>
        </w:rPr>
        <w:t xml:space="preserve">Security Standard — Control 4  ·  CIS Controls v8, Control 6</w:t>
      </w:r>
    </w:p>
    <w:p>
      <w:pPr>
        <w:pStyle w:val="Heading1"/>
        <w:pBdr>
          <w:bottom w:val="single" w:color="B4BED4" w:sz="6" w:space="3"/>
        </w:pBdr>
      </w:pPr>
      <w:r>
        <w:t xml:space="preserve">1. Document Control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7080"/>
      </w:tblGrid>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Title</w:t>
            </w:r>
          </w:p>
        </w:tc>
        <w:tc>
          <w:tcPr>
            <w:tcW w:type="dxa" w:w="7080"/>
            <w:tcMar>
              <w:top w:type="dxa" w:w="50"/>
              <w:left w:type="dxa" w:w="90"/>
              <w:bottom w:type="dxa" w:w="50"/>
              <w:right w:type="dxa" w:w="90"/>
            </w:tcMar>
            <w:vAlign w:val="center"/>
          </w:tcPr>
          <w:p>
            <w:pPr>
              <w:spacing w:after="0" w:line="264"/>
            </w:pPr>
            <w:r>
              <w:rPr>
                <w:color w:val="222222"/>
                <w:sz w:val="18"/>
                <w:szCs w:val="18"/>
              </w:rPr>
              <w:t xml:space="preserve">Privileged Access &amp; Multi-Factor Authentication Security Standard</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ID</w:t>
            </w:r>
          </w:p>
        </w:tc>
        <w:tc>
          <w:tcPr>
            <w:tcW w:type="dxa" w:w="7080"/>
            <w:tcMar>
              <w:top w:type="dxa" w:w="50"/>
              <w:left w:type="dxa" w:w="90"/>
              <w:bottom w:type="dxa" w:w="50"/>
              <w:right w:type="dxa" w:w="90"/>
            </w:tcMar>
            <w:vAlign w:val="center"/>
          </w:tcPr>
          <w:p>
            <w:pPr>
              <w:spacing w:after="0" w:line="264"/>
            </w:pPr>
            <w:r>
              <w:rPr>
                <w:color w:val="222222"/>
                <w:sz w:val="18"/>
                <w:szCs w:val="18"/>
              </w:rPr>
              <w:t xml:space="preserve">MAL-STD-004</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Version</w:t>
            </w:r>
          </w:p>
        </w:tc>
        <w:tc>
          <w:tcPr>
            <w:tcW w:type="dxa" w:w="7080"/>
            <w:tcMar>
              <w:top w:type="dxa" w:w="50"/>
              <w:left w:type="dxa" w:w="90"/>
              <w:bottom w:type="dxa" w:w="50"/>
              <w:right w:type="dxa" w:w="90"/>
            </w:tcMar>
            <w:vAlign w:val="center"/>
          </w:tcPr>
          <w:p>
            <w:pPr>
              <w:spacing w:after="0" w:line="264"/>
            </w:pPr>
            <w:r>
              <w:rPr>
                <w:color w:val="222222"/>
                <w:sz w:val="18"/>
                <w:szCs w:val="18"/>
              </w:rPr>
              <w:t xml:space="preserve">1.0</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Classification</w:t>
            </w:r>
          </w:p>
        </w:tc>
        <w:tc>
          <w:tcPr>
            <w:tcW w:type="dxa" w:w="7080"/>
            <w:tcMar>
              <w:top w:type="dxa" w:w="50"/>
              <w:left w:type="dxa" w:w="90"/>
              <w:bottom w:type="dxa" w:w="50"/>
              <w:right w:type="dxa" w:w="90"/>
            </w:tcMar>
            <w:vAlign w:val="center"/>
          </w:tcPr>
          <w:p>
            <w:pPr>
              <w:spacing w:after="0" w:line="264"/>
            </w:pPr>
            <w:r>
              <w:rPr>
                <w:color w:val="222222"/>
                <w:sz w:val="18"/>
                <w:szCs w:val="18"/>
              </w:rPr>
              <w:t xml:space="preserve">Confidential — Internal Use Only</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Reference</w:t>
            </w:r>
          </w:p>
        </w:tc>
        <w:tc>
          <w:tcPr>
            <w:tcW w:type="dxa" w:w="7080"/>
            <w:tcMar>
              <w:top w:type="dxa" w:w="50"/>
              <w:left w:type="dxa" w:w="90"/>
              <w:bottom w:type="dxa" w:w="50"/>
              <w:right w:type="dxa" w:w="90"/>
            </w:tcMar>
            <w:vAlign w:val="center"/>
          </w:tcPr>
          <w:p>
            <w:pPr>
              <w:spacing w:after="0" w:line="264"/>
            </w:pPr>
            <w:r>
              <w:rPr>
                <w:color w:val="222222"/>
                <w:sz w:val="18"/>
                <w:szCs w:val="18"/>
              </w:rPr>
              <w:t xml:space="preserve">CTL-004 — Privileged Access &amp; MFA</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Framework Mapping</w:t>
            </w:r>
          </w:p>
        </w:tc>
        <w:tc>
          <w:tcPr>
            <w:tcW w:type="dxa" w:w="7080"/>
            <w:tcMar>
              <w:top w:type="dxa" w:w="50"/>
              <w:left w:type="dxa" w:w="90"/>
              <w:bottom w:type="dxa" w:w="50"/>
              <w:right w:type="dxa" w:w="90"/>
            </w:tcMar>
            <w:vAlign w:val="center"/>
          </w:tcPr>
          <w:p>
            <w:pPr>
              <w:spacing w:after="0" w:line="264"/>
            </w:pPr>
            <w:r>
              <w:rPr>
                <w:color w:val="222222"/>
                <w:sz w:val="18"/>
                <w:szCs w:val="18"/>
              </w:rPr>
              <w:t xml:space="preserve">CIS Controls v8, Control 6 — Access Control Management</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Owner</w:t>
            </w:r>
          </w:p>
        </w:tc>
        <w:tc>
          <w:tcPr>
            <w:tcW w:type="dxa" w:w="7080"/>
            <w:tcMar>
              <w:top w:type="dxa" w:w="50"/>
              <w:left w:type="dxa" w:w="90"/>
              <w:bottom w:type="dxa" w:w="50"/>
              <w:right w:type="dxa" w:w="90"/>
            </w:tcMar>
            <w:vAlign w:val="center"/>
          </w:tcPr>
          <w:p>
            <w:pPr>
              <w:spacing w:after="0" w:line="264"/>
            </w:pPr>
            <w:r>
              <w:rPr>
                <w:color w:val="222222"/>
                <w:sz w:val="18"/>
                <w:szCs w:val="18"/>
              </w:rPr>
              <w:t xml:space="preserve">IAM Team</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Prepared By</w:t>
            </w:r>
          </w:p>
        </w:tc>
        <w:tc>
          <w:tcPr>
            <w:tcW w:type="dxa" w:w="7080"/>
            <w:tcMar>
              <w:top w:type="dxa" w:w="50"/>
              <w:left w:type="dxa" w:w="90"/>
              <w:bottom w:type="dxa" w:w="50"/>
              <w:right w:type="dxa" w:w="90"/>
            </w:tcMar>
            <w:vAlign w:val="center"/>
          </w:tcPr>
          <w:p>
            <w:pPr>
              <w:spacing w:after="0" w:line="264"/>
            </w:pPr>
            <w:r>
              <w:rPr>
                <w:color w:val="222222"/>
                <w:sz w:val="18"/>
                <w:szCs w:val="18"/>
              </w:rPr>
              <w:t xml:space="preserve">Maxine Jones, GRC Analyst</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Period</w:t>
            </w:r>
          </w:p>
        </w:tc>
        <w:tc>
          <w:tcPr>
            <w:tcW w:type="dxa" w:w="7080"/>
            <w:tcMar>
              <w:top w:type="dxa" w:w="50"/>
              <w:left w:type="dxa" w:w="90"/>
              <w:bottom w:type="dxa" w:w="50"/>
              <w:right w:type="dxa" w:w="90"/>
            </w:tcMar>
            <w:vAlign w:val="center"/>
          </w:tcPr>
          <w:p>
            <w:pPr>
              <w:spacing w:after="0" w:line="264"/>
            </w:pPr>
            <w:r>
              <w:rPr>
                <w:color w:val="222222"/>
                <w:sz w:val="18"/>
                <w:szCs w:val="18"/>
              </w:rPr>
              <w:t xml:space="preserve">Q3 2026</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Conformance Assessment Date</w:t>
            </w:r>
          </w:p>
        </w:tc>
        <w:tc>
          <w:tcPr>
            <w:tcW w:type="dxa" w:w="7080"/>
            <w:tcMar>
              <w:top w:type="dxa" w:w="50"/>
              <w:left w:type="dxa" w:w="90"/>
              <w:bottom w:type="dxa" w:w="50"/>
              <w:right w:type="dxa" w:w="90"/>
            </w:tcMar>
            <w:vAlign w:val="center"/>
          </w:tcPr>
          <w:p>
            <w:pPr>
              <w:spacing w:after="0" w:line="264"/>
            </w:pPr>
            <w:r>
              <w:rPr>
                <w:color w:val="222222"/>
                <w:sz w:val="18"/>
                <w:szCs w:val="18"/>
              </w:rPr>
              <w:t xml:space="preserve">______________________  </w:t>
            </w:r>
            <w:r>
              <w:rPr>
                <w:color w:val="7F7F7F"/>
                <w:sz w:val="18"/>
                <w:szCs w:val="18"/>
              </w:rPr>
              <w:t xml:space="preserve">(within Q3 2026 assessment period)</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Status</w:t>
            </w:r>
          </w:p>
        </w:tc>
        <w:tc>
          <w:tcPr>
            <w:tcW w:type="dxa" w:w="7080"/>
            <w:tcMar>
              <w:top w:type="dxa" w:w="50"/>
              <w:left w:type="dxa" w:w="90"/>
              <w:bottom w:type="dxa" w:w="50"/>
              <w:right w:type="dxa" w:w="90"/>
            </w:tcMar>
            <w:vAlign w:val="center"/>
          </w:tcPr>
          <w:p>
            <w:pPr>
              <w:spacing w:after="0" w:line="264"/>
            </w:pPr>
            <w:r>
              <w:rPr>
                <w:color w:val="222222"/>
                <w:sz w:val="18"/>
                <w:szCs w:val="18"/>
              </w:rPr>
              <w:t xml:space="preserve">Final — Portfolio Simulation</w:t>
            </w:r>
          </w:p>
        </w:tc>
      </w:tr>
      <w:tr>
        <w:trPr>
          <w:cantSplit/>
        </w:trPr>
        <w:tc>
          <w:tcPr>
            <w:tcW w:type="dxa" w:w="30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Effectiveness (per Control Register)</w:t>
            </w:r>
          </w:p>
        </w:tc>
        <w:tc>
          <w:tcPr>
            <w:tcW w:type="dxa" w:w="7080"/>
            <w:tcMar>
              <w:top w:type="dxa" w:w="50"/>
              <w:left w:type="dxa" w:w="90"/>
              <w:bottom w:type="dxa" w:w="50"/>
              <w:right w:type="dxa" w:w="90"/>
            </w:tcMar>
            <w:vAlign w:val="center"/>
          </w:tcPr>
          <w:p>
            <w:pPr>
              <w:spacing w:after="0" w:line="264"/>
            </w:pPr>
            <w:r>
              <w:rPr>
                <w:color w:val="222222"/>
                <w:sz w:val="18"/>
                <w:szCs w:val="18"/>
              </w:rPr>
              <w:t xml:space="preserve">Effective</w:t>
            </w:r>
          </w:p>
        </w:tc>
      </w:tr>
    </w:tbl>
    <w:p>
      <w:pPr>
        <w:pStyle w:val="Heading1"/>
        <w:pBdr>
          <w:bottom w:val="single" w:color="B4BED4" w:sz="6" w:space="3"/>
        </w:pBdr>
      </w:pPr>
      <w:r>
        <w:t xml:space="preserve">2. Purpose</w:t>
      </w:r>
    </w:p>
    <w:p>
      <w:pPr>
        <w:spacing w:after="120" w:before="0" w:line="276"/>
        <w:jc w:val="left"/>
      </w:pPr>
      <w:r>
        <w:rPr>
          <w:color w:val="222222"/>
          <w:sz w:val="21"/>
          <w:szCs w:val="21"/>
        </w:rPr>
        <w:t xml:space="preserve">This document establishes the mandatory security configuration and governance baseline for privileged access to the MindfulAI Labs AI-platform environment. It defines the required multi-factor authentication (MFA) and least-privilege controls that support Control 4 of the MindfulAI Labs Control Register and align to CIS Controls v8, Control 6 (Access Control Management). Control 4 is a preventive control that operates on a continuous basis; accordingly, this artifact takes the form of a security standard — it defines the required control state against which conformance is continuously monitored, rather than documenting a single point-in-time test.</w:t>
      </w:r>
    </w:p>
    <w:p>
      <w:pPr>
        <w:spacing w:after="120" w:before="0" w:line="276"/>
        <w:jc w:val="left"/>
      </w:pPr>
      <w:r>
        <w:rPr>
          <w:b/>
          <w:bCs/>
          <w:i/>
          <w:iCs/>
          <w:color w:val="222222"/>
          <w:sz w:val="21"/>
          <w:szCs w:val="21"/>
        </w:rPr>
        <w:t xml:space="preserve">This standard describes required controls and a simulated conformance assessment produced for a portfolio artifact.</w:t>
      </w:r>
      <w:r>
        <w:rPr>
          <w:i/>
          <w:iCs/>
          <w:color w:val="222222"/>
          <w:sz w:val="21"/>
          <w:szCs w:val="21"/>
        </w:rPr>
        <w:t xml:space="preserve"> The conformance summary is illustrative and is not derived from an actual system, configuration export, authentication log, or privileged-access-management record, and no live systems, accounts, or logs were accessed.</w:t>
      </w:r>
    </w:p>
    <w:p>
      <w:pPr>
        <w:pStyle w:val="Heading1"/>
        <w:pBdr>
          <w:bottom w:val="single" w:color="B4BED4" w:sz="6" w:space="3"/>
        </w:pBdr>
      </w:pPr>
      <w:r>
        <w:t xml:space="preserve">3. Scope</w:t>
      </w:r>
    </w:p>
    <w:p>
      <w:pPr>
        <w:spacing w:after="120" w:before="0" w:line="276"/>
        <w:jc w:val="left"/>
      </w:pPr>
      <w:r>
        <w:rPr>
          <w:b/>
          <w:bCs/>
          <w:color w:val="222222"/>
          <w:sz w:val="21"/>
          <w:szCs w:val="21"/>
        </w:rPr>
        <w:t xml:space="preserve">In scope. </w:t>
      </w:r>
      <w:r>
        <w:rPr>
          <w:color w:val="222222"/>
          <w:sz w:val="21"/>
          <w:szCs w:val="21"/>
        </w:rPr>
        <w:t xml:space="preserve">This standard governs privileged access — administrative, root, elevated, or security-configuration access — to the following MindfulAI Labs AI-platform assets: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50"/>
        <w:gridCol w:w="2380"/>
        <w:gridCol w:w="1350"/>
        <w:gridCol w:w="1300"/>
        <w:gridCol w:w="1200"/>
        <w:gridCol w:w="2400"/>
      </w:tblGrid>
      <w:tr>
        <w:trPr>
          <w:cantSplit/>
          <w:tblHeader/>
        </w:trPr>
        <w:tc>
          <w:tcPr>
            <w:tcW w:type="dxa" w:w="14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Asset ID</w:t>
            </w:r>
          </w:p>
        </w:tc>
        <w:tc>
          <w:tcPr>
            <w:tcW w:type="dxa" w:w="238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Asset Name</w:t>
            </w:r>
          </w:p>
        </w:tc>
        <w:tc>
          <w:tcPr>
            <w:tcW w:type="dxa" w:w="13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Type</w:t>
            </w:r>
          </w:p>
        </w:tc>
        <w:tc>
          <w:tcPr>
            <w:tcW w:type="dxa" w:w="13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Classification</w:t>
            </w:r>
          </w:p>
        </w:tc>
        <w:tc>
          <w:tcPr>
            <w:tcW w:type="dxa" w:w="12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Environment</w:t>
            </w:r>
          </w:p>
        </w:tc>
        <w:tc>
          <w:tcPr>
            <w:tcW w:type="dxa" w:w="24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Owner</w:t>
            </w:r>
          </w:p>
        </w:tc>
      </w:tr>
      <w:tr>
        <w:trPr>
          <w:cantSplit/>
        </w:trPr>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AST-001</w:t>
            </w:r>
          </w:p>
        </w:tc>
        <w:tc>
          <w:tcPr>
            <w:tcW w:type="dxa" w:w="23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Clinical Diagnostic AI Model</w:t>
            </w:r>
          </w:p>
        </w:tc>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Application</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Critical</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Production</w:t>
            </w:r>
          </w:p>
        </w:tc>
        <w:tc>
          <w:tcPr>
            <w:tcW w:type="dxa" w:w="24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Clinical AI &amp; Machine Learning Team</w:t>
            </w:r>
          </w:p>
        </w:tc>
      </w:tr>
      <w:tr>
        <w:trPr>
          <w:cantSplit/>
        </w:trPr>
        <w:tc>
          <w:tcPr>
            <w:tcW w:type="dxa" w:w="1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AST-002</w:t>
            </w:r>
          </w:p>
        </w:tc>
        <w:tc>
          <w:tcPr>
            <w:tcW w:type="dxa" w:w="23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Financial Risk Training Data Repository</w:t>
            </w:r>
          </w:p>
        </w:tc>
        <w:tc>
          <w:tcPr>
            <w:tcW w:type="dxa" w:w="13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Data Store</w:t>
            </w:r>
          </w:p>
        </w:tc>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High</w:t>
            </w:r>
          </w:p>
        </w:tc>
        <w:tc>
          <w:tcPr>
            <w:tcW w:type="dxa" w:w="1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Production</w:t>
            </w:r>
          </w:p>
        </w:tc>
        <w:tc>
          <w:tcPr>
            <w:tcW w:type="dxa" w:w="24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Data Science Team</w:t>
            </w:r>
          </w:p>
        </w:tc>
      </w:tr>
      <w:tr>
        <w:trPr>
          <w:cantSplit/>
        </w:trPr>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AST-003</w:t>
            </w:r>
          </w:p>
        </w:tc>
        <w:tc>
          <w:tcPr>
            <w:tcW w:type="dxa" w:w="23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AI Model Training Server</w:t>
            </w:r>
          </w:p>
        </w:tc>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Server</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Development</w:t>
            </w:r>
          </w:p>
        </w:tc>
        <w:tc>
          <w:tcPr>
            <w:tcW w:type="dxa" w:w="24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Machine Learning Engineering</w:t>
            </w:r>
          </w:p>
        </w:tc>
      </w:tr>
      <w:tr>
        <w:trPr>
          <w:cantSplit/>
        </w:trPr>
        <w:tc>
          <w:tcPr>
            <w:tcW w:type="dxa" w:w="1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AST-004</w:t>
            </w:r>
          </w:p>
        </w:tc>
        <w:tc>
          <w:tcPr>
            <w:tcW w:type="dxa" w:w="23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AI Development Cloud Environment</w:t>
            </w:r>
          </w:p>
        </w:tc>
        <w:tc>
          <w:tcPr>
            <w:tcW w:type="dxa" w:w="13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Cloud Account</w:t>
            </w:r>
          </w:p>
        </w:tc>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1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Development</w:t>
            </w:r>
          </w:p>
        </w:tc>
        <w:tc>
          <w:tcPr>
            <w:tcW w:type="dxa" w:w="24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Cloud Engineering</w:t>
            </w:r>
          </w:p>
        </w:tc>
      </w:tr>
      <w:tr>
        <w:trPr>
          <w:cantSplit/>
        </w:trPr>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AST-006</w:t>
            </w:r>
          </w:p>
        </w:tc>
        <w:tc>
          <w:tcPr>
            <w:tcW w:type="dxa" w:w="23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Pre-Production AI Validation Environment</w:t>
            </w:r>
          </w:p>
        </w:tc>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Server</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Staging</w:t>
            </w:r>
          </w:p>
        </w:tc>
        <w:tc>
          <w:tcPr>
            <w:tcW w:type="dxa" w:w="24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Model Validation Team</w:t>
            </w:r>
          </w:p>
        </w:tc>
      </w:tr>
      <w:tr>
        <w:trPr>
          <w:cantSplit/>
        </w:trPr>
        <w:tc>
          <w:tcPr>
            <w:tcW w:type="dxa" w:w="1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AST-007</w:t>
            </w:r>
          </w:p>
        </w:tc>
        <w:tc>
          <w:tcPr>
            <w:tcW w:type="dxa" w:w="23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AI Network Security Gateway</w:t>
            </w:r>
          </w:p>
        </w:tc>
        <w:tc>
          <w:tcPr>
            <w:tcW w:type="dxa" w:w="13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Network Device</w:t>
            </w:r>
          </w:p>
        </w:tc>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High</w:t>
            </w:r>
          </w:p>
        </w:tc>
        <w:tc>
          <w:tcPr>
            <w:tcW w:type="dxa" w:w="1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Production</w:t>
            </w:r>
          </w:p>
        </w:tc>
        <w:tc>
          <w:tcPr>
            <w:tcW w:type="dxa" w:w="24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Network Security Team</w:t>
            </w:r>
          </w:p>
        </w:tc>
      </w:tr>
      <w:tr>
        <w:trPr>
          <w:cantSplit/>
        </w:trPr>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AST-008</w:t>
            </w:r>
          </w:p>
        </w:tc>
        <w:tc>
          <w:tcPr>
            <w:tcW w:type="dxa" w:w="23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Pre-Production Model Validation Server</w:t>
            </w:r>
          </w:p>
        </w:tc>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Server</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Staging</w:t>
            </w:r>
          </w:p>
        </w:tc>
        <w:tc>
          <w:tcPr>
            <w:tcW w:type="dxa" w:w="24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Model Validation Team</w:t>
            </w:r>
          </w:p>
        </w:tc>
      </w:tr>
      <w:tr>
        <w:trPr>
          <w:cantSplit/>
        </w:trPr>
        <w:tc>
          <w:tcPr>
            <w:tcW w:type="dxa" w:w="1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AST-009</w:t>
            </w:r>
          </w:p>
        </w:tc>
        <w:tc>
          <w:tcPr>
            <w:tcW w:type="dxa" w:w="23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Clinical AI Backup Repository</w:t>
            </w:r>
          </w:p>
        </w:tc>
        <w:tc>
          <w:tcPr>
            <w:tcW w:type="dxa" w:w="13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Data Store</w:t>
            </w:r>
          </w:p>
        </w:tc>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High</w:t>
            </w:r>
          </w:p>
        </w:tc>
        <w:tc>
          <w:tcPr>
            <w:tcW w:type="dxa" w:w="1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DR</w:t>
            </w:r>
          </w:p>
        </w:tc>
        <w:tc>
          <w:tcPr>
            <w:tcW w:type="dxa" w:w="24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Data Protection Team</w:t>
            </w:r>
          </w:p>
        </w:tc>
      </w:tr>
      <w:tr>
        <w:trPr>
          <w:cantSplit/>
        </w:trPr>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AST-010</w:t>
            </w:r>
          </w:p>
        </w:tc>
        <w:tc>
          <w:tcPr>
            <w:tcW w:type="dxa" w:w="23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AI Disaster Recovery Cloud Environment</w:t>
            </w:r>
          </w:p>
        </w:tc>
        <w:tc>
          <w:tcPr>
            <w:tcW w:type="dxa" w:w="13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Cloud Account</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High</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DR</w:t>
            </w:r>
          </w:p>
        </w:tc>
        <w:tc>
          <w:tcPr>
            <w:tcW w:type="dxa" w:w="24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Cloud Operations Team</w:t>
            </w:r>
          </w:p>
        </w:tc>
      </w:tr>
    </w:tbl>
    <w:p>
      <w:pPr>
        <w:spacing w:after="120" w:before="60" w:line="276"/>
        <w:jc w:val="left"/>
      </w:pPr>
      <w:r>
        <w:rPr>
          <w:i/>
          <w:iCs/>
          <w:color w:val="7F7F7F"/>
          <w:sz w:val="18"/>
          <w:szCs w:val="18"/>
        </w:rPr>
        <w:t xml:space="preserve">Asset identifiers use the project’s normalized register scheme (AST-001–AST-011); the lab’s system-generated identifiers were replaced with sequential IDs for consistency across the portfolio. AST-005 (AI Governance Analyst Workstation) and AST-011 (Model Testing Workstation) are register entries that fall outside this standard’s scope (see Out of scope). Asset-to-control scoping is developed for portfolio purposes; the source register does not contain explicit asset-to-control linkage fields.</w:t>
      </w:r>
    </w:p>
    <w:p>
      <w:pPr>
        <w:spacing w:after="120" w:before="60" w:line="276"/>
        <w:jc w:val="left"/>
      </w:pPr>
      <w:r>
        <w:rPr>
          <w:b/>
          <w:bCs/>
          <w:color w:val="222222"/>
          <w:sz w:val="21"/>
          <w:szCs w:val="21"/>
        </w:rPr>
        <w:t xml:space="preserve">Out of scope. </w:t>
      </w:r>
      <w:r>
        <w:rPr>
          <w:color w:val="222222"/>
          <w:sz w:val="21"/>
          <w:szCs w:val="21"/>
        </w:rPr>
        <w:t xml:space="preserve">The following are not governed by this standard:</w:t>
      </w:r>
    </w:p>
    <w:p>
      <w:pPr>
        <w:pStyle w:val="ListParagraph"/>
        <w:numPr>
          <w:ilvl w:val="0"/>
          <w:numId w:val="1"/>
        </w:numPr>
        <w:spacing w:after="60" w:line="276"/>
      </w:pPr>
      <w:r>
        <w:rPr>
          <w:color w:val="222222"/>
          <w:sz w:val="21"/>
          <w:szCs w:val="21"/>
        </w:rPr>
        <w:t xml:space="preserve">The AI Governance Analyst Workstation (AST-005) and the Model Testing Workstation (AST-011) — endpoint assets. General endpoint and local-administrator hardening is addressed under separate endpoint-security controls; only privileged access to the AI-platform, server, cloud, network, application, and data-store assets listed above is in scope here.</w:t>
      </w:r>
    </w:p>
    <w:p>
      <w:pPr>
        <w:pStyle w:val="ListParagraph"/>
        <w:numPr>
          <w:ilvl w:val="0"/>
          <w:numId w:val="1"/>
        </w:numPr>
        <w:spacing w:after="60" w:line="276"/>
      </w:pPr>
      <w:r>
        <w:rPr>
          <w:color w:val="222222"/>
          <w:sz w:val="21"/>
          <w:szCs w:val="21"/>
        </w:rPr>
        <w:t xml:space="preserve">End-user (non-privileged) access to in-scope assets.</w:t>
      </w:r>
    </w:p>
    <w:p>
      <w:pPr>
        <w:pStyle w:val="ListParagraph"/>
        <w:numPr>
          <w:ilvl w:val="0"/>
          <w:numId w:val="1"/>
        </w:numPr>
        <w:spacing w:after="60" w:line="276"/>
      </w:pPr>
      <w:r>
        <w:rPr>
          <w:color w:val="222222"/>
          <w:sz w:val="21"/>
          <w:szCs w:val="21"/>
        </w:rPr>
        <w:t xml:space="preserve">Selection of specific MFA authenticator technologies and detailed authentication architecture, which are handled operationally by the IAM Team.</w:t>
      </w:r>
    </w:p>
    <w:p>
      <w:pPr>
        <w:pStyle w:val="ListParagraph"/>
        <w:numPr>
          <w:ilvl w:val="0"/>
          <w:numId w:val="1"/>
        </w:numPr>
        <w:spacing w:after="60" w:line="276"/>
      </w:pPr>
      <w:r>
        <w:rPr>
          <w:color w:val="222222"/>
          <w:sz w:val="21"/>
          <w:szCs w:val="21"/>
        </w:rPr>
        <w:t xml:space="preserve">Data-privacy assessment of in-scope data stores (addressed under the privacy / GDPR control) and change approval for AI model or configuration changes (addressed under Control 3 — Change Management, MAL-CTW-003). These are cross-referenced where relevant but not restated here.</w:t>
      </w:r>
    </w:p>
    <w:p>
      <w:pPr>
        <w:pStyle w:val="Heading1"/>
        <w:pBdr>
          <w:bottom w:val="single" w:color="B4BED4" w:sz="6" w:space="3"/>
        </w:pBdr>
      </w:pPr>
      <w:r>
        <w:t xml:space="preserve">4. Control Reference &amp; Framework Mapping</w:t>
      </w:r>
    </w:p>
    <w:p>
      <w:pPr>
        <w:spacing w:after="120" w:before="0" w:line="276"/>
        <w:jc w:val="left"/>
      </w:pPr>
      <w:r>
        <w:rPr>
          <w:b/>
          <w:bCs/>
          <w:color w:val="222222"/>
          <w:sz w:val="21"/>
          <w:szCs w:val="21"/>
        </w:rPr>
        <w:t xml:space="preserve">Control as recorded in the MindfulAI Labs Control Register:</w:t>
      </w:r>
    </w:p>
    <w:p>
      <w:pPr>
        <w:pStyle w:val="ListParagraph"/>
        <w:numPr>
          <w:ilvl w:val="0"/>
          <w:numId w:val="1"/>
        </w:numPr>
        <w:spacing w:after="60" w:line="276"/>
      </w:pPr>
      <w:r>
        <w:rPr>
          <w:b/>
          <w:bCs/>
          <w:color w:val="222222"/>
          <w:sz w:val="21"/>
          <w:szCs w:val="21"/>
        </w:rPr>
        <w:t xml:space="preserve">Control name: </w:t>
      </w:r>
      <w:r>
        <w:rPr>
          <w:color w:val="222222"/>
          <w:sz w:val="21"/>
          <w:szCs w:val="21"/>
        </w:rPr>
        <w:t xml:space="preserve">Enforce multi-factor authentication and least-privilege access for privileged AI platform accounts</w:t>
      </w:r>
    </w:p>
    <w:p>
      <w:pPr>
        <w:pStyle w:val="ListParagraph"/>
        <w:numPr>
          <w:ilvl w:val="0"/>
          <w:numId w:val="1"/>
        </w:numPr>
        <w:spacing w:after="60" w:line="276"/>
      </w:pPr>
      <w:r>
        <w:rPr>
          <w:b/>
          <w:bCs/>
          <w:color w:val="222222"/>
          <w:sz w:val="21"/>
          <w:szCs w:val="21"/>
        </w:rPr>
        <w:t xml:space="preserve">Framework reference: </w:t>
      </w:r>
      <w:r>
        <w:rPr>
          <w:color w:val="222222"/>
          <w:sz w:val="21"/>
          <w:szCs w:val="21"/>
        </w:rPr>
        <w:t xml:space="preserve">CIS Controls — CIS 6</w:t>
      </w:r>
    </w:p>
    <w:p>
      <w:pPr>
        <w:pStyle w:val="ListParagraph"/>
        <w:numPr>
          <w:ilvl w:val="0"/>
          <w:numId w:val="1"/>
        </w:numPr>
        <w:spacing w:after="60" w:line="276"/>
      </w:pPr>
      <w:r>
        <w:rPr>
          <w:b/>
          <w:bCs/>
          <w:color w:val="222222"/>
          <w:sz w:val="21"/>
          <w:szCs w:val="21"/>
        </w:rPr>
        <w:t xml:space="preserve">Effectiveness rating: </w:t>
      </w:r>
      <w:r>
        <w:rPr>
          <w:color w:val="222222"/>
          <w:sz w:val="21"/>
          <w:szCs w:val="21"/>
        </w:rPr>
        <w:t xml:space="preserve">Effective</w:t>
      </w:r>
    </w:p>
    <w:p>
      <w:pPr>
        <w:pStyle w:val="ListParagraph"/>
        <w:numPr>
          <w:ilvl w:val="0"/>
          <w:numId w:val="1"/>
        </w:numPr>
        <w:spacing w:after="60" w:line="276"/>
      </w:pPr>
      <w:r>
        <w:rPr>
          <w:b/>
          <w:bCs/>
          <w:color w:val="222222"/>
          <w:sz w:val="21"/>
          <w:szCs w:val="21"/>
        </w:rPr>
        <w:t xml:space="preserve">Assessment frequency: </w:t>
      </w:r>
      <w:r>
        <w:rPr>
          <w:color w:val="222222"/>
          <w:sz w:val="21"/>
          <w:szCs w:val="21"/>
        </w:rPr>
        <w:t xml:space="preserve">Continuous</w:t>
      </w:r>
    </w:p>
    <w:p>
      <w:pPr>
        <w:pStyle w:val="ListParagraph"/>
        <w:numPr>
          <w:ilvl w:val="0"/>
          <w:numId w:val="1"/>
        </w:numPr>
        <w:spacing w:after="60" w:line="276"/>
      </w:pPr>
      <w:r>
        <w:rPr>
          <w:b/>
          <w:bCs/>
          <w:color w:val="222222"/>
          <w:sz w:val="21"/>
          <w:szCs w:val="21"/>
        </w:rPr>
        <w:t xml:space="preserve">Control owner: </w:t>
      </w:r>
      <w:r>
        <w:rPr>
          <w:color w:val="222222"/>
          <w:sz w:val="21"/>
          <w:szCs w:val="21"/>
        </w:rPr>
        <w:t xml:space="preserve">IAM Team</w:t>
      </w:r>
    </w:p>
    <w:p>
      <w:pPr>
        <w:pStyle w:val="ListParagraph"/>
        <w:numPr>
          <w:ilvl w:val="0"/>
          <w:numId w:val="1"/>
        </w:numPr>
        <w:spacing w:after="60" w:line="276"/>
      </w:pPr>
      <w:r>
        <w:rPr>
          <w:b/>
          <w:bCs/>
          <w:color w:val="222222"/>
          <w:sz w:val="21"/>
          <w:szCs w:val="21"/>
        </w:rPr>
        <w:t xml:space="preserve">Control identifier: </w:t>
      </w:r>
      <w:r>
        <w:rPr>
          <w:color w:val="222222"/>
          <w:sz w:val="21"/>
          <w:szCs w:val="21"/>
        </w:rPr>
        <w:t xml:space="preserve">assigned as CTL-004 under the project’s normalized ID scheme; the source register did not expose an internal identifier. Description, rationale, and detailed framework references remain not exposed in source (null) and were not invented for this document.</w:t>
      </w:r>
    </w:p>
    <w:p>
      <w:pPr>
        <w:spacing w:after="120" w:before="60" w:line="276"/>
        <w:jc w:val="left"/>
      </w:pPr>
      <w:r>
        <w:rPr>
          <w:b/>
          <w:bCs/>
          <w:color w:val="222222"/>
          <w:sz w:val="21"/>
          <w:szCs w:val="21"/>
        </w:rPr>
        <w:t xml:space="preserve">Source-provided mapping. </w:t>
      </w:r>
      <w:r>
        <w:rPr>
          <w:color w:val="222222"/>
          <w:sz w:val="21"/>
          <w:szCs w:val="21"/>
        </w:rPr>
        <w:t xml:space="preserve">The register maps this control to CIS Controls, Control 6.</w:t>
      </w:r>
    </w:p>
    <w:p>
      <w:pPr>
        <w:spacing w:after="120" w:before="0" w:line="276"/>
        <w:jc w:val="left"/>
      </w:pPr>
      <w:r>
        <w:rPr>
          <w:b/>
          <w:bCs/>
          <w:color w:val="222222"/>
          <w:sz w:val="21"/>
          <w:szCs w:val="21"/>
        </w:rPr>
        <w:t xml:space="preserve">Supplemental framework mapping (portfolio-developed). </w:t>
      </w:r>
      <w:r>
        <w:rPr>
          <w:color w:val="222222"/>
          <w:sz w:val="21"/>
          <w:szCs w:val="21"/>
        </w:rPr>
        <w:t xml:space="preserve">To show how the control’s requirements align to the CIS Controls v8 safeguards under Control 6 (Access Control Management), the following mapping has been developed for portfolio purposes. It is not contained in the source register.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00"/>
        <w:gridCol w:w="5580"/>
        <w:gridCol w:w="3000"/>
      </w:tblGrid>
      <w:tr>
        <w:trPr>
          <w:cantSplit/>
          <w:tblHeader/>
        </w:trPr>
        <w:tc>
          <w:tcPr>
            <w:tcW w:type="dxa" w:w="15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CIS v8 Safeguard</w:t>
            </w:r>
          </w:p>
        </w:tc>
        <w:tc>
          <w:tcPr>
            <w:tcW w:type="dxa" w:w="558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Safeguard Title</w:t>
            </w:r>
          </w:p>
        </w:tc>
        <w:tc>
          <w:tcPr>
            <w:tcW w:type="dxa" w:w="30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Addressed in</w:t>
            </w:r>
          </w:p>
        </w:tc>
      </w:tr>
      <w:tr>
        <w:trPr>
          <w:cantSplit/>
        </w:trPr>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6.1</w:t>
            </w:r>
          </w:p>
        </w:tc>
        <w:tc>
          <w:tcPr>
            <w:tcW w:type="dxa" w:w="55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Establish an Access Granting Process</w:t>
            </w:r>
          </w:p>
        </w:tc>
        <w:tc>
          <w:tcPr>
            <w:tcW w:type="dxa" w:w="30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§7.4</w:t>
            </w:r>
          </w:p>
        </w:tc>
      </w:tr>
      <w:tr>
        <w:trPr>
          <w:cantSplit/>
        </w:trPr>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6.2</w:t>
            </w:r>
          </w:p>
        </w:tc>
        <w:tc>
          <w:tcPr>
            <w:tcW w:type="dxa" w:w="55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Establish an Access Revoking Process</w:t>
            </w:r>
          </w:p>
        </w:tc>
        <w:tc>
          <w:tcPr>
            <w:tcW w:type="dxa" w:w="30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§7.4</w:t>
            </w:r>
          </w:p>
        </w:tc>
      </w:tr>
      <w:tr>
        <w:trPr>
          <w:cantSplit/>
        </w:trPr>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6.3</w:t>
            </w:r>
          </w:p>
        </w:tc>
        <w:tc>
          <w:tcPr>
            <w:tcW w:type="dxa" w:w="55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Require MFA for Externally-Exposed Applications</w:t>
            </w:r>
          </w:p>
        </w:tc>
        <w:tc>
          <w:tcPr>
            <w:tcW w:type="dxa" w:w="30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§7.2</w:t>
            </w:r>
          </w:p>
        </w:tc>
      </w:tr>
      <w:tr>
        <w:trPr>
          <w:cantSplit/>
        </w:trPr>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6.4</w:t>
            </w:r>
          </w:p>
        </w:tc>
        <w:tc>
          <w:tcPr>
            <w:tcW w:type="dxa" w:w="55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Require MFA for Remote Network Access</w:t>
            </w:r>
          </w:p>
        </w:tc>
        <w:tc>
          <w:tcPr>
            <w:tcW w:type="dxa" w:w="30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§7.2</w:t>
            </w:r>
          </w:p>
        </w:tc>
      </w:tr>
      <w:tr>
        <w:trPr>
          <w:cantSplit/>
        </w:trPr>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6.5</w:t>
            </w:r>
          </w:p>
        </w:tc>
        <w:tc>
          <w:tcPr>
            <w:tcW w:type="dxa" w:w="55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Require MFA for Administrative Access</w:t>
            </w:r>
          </w:p>
        </w:tc>
        <w:tc>
          <w:tcPr>
            <w:tcW w:type="dxa" w:w="30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§7.2 (primary)</w:t>
            </w:r>
          </w:p>
        </w:tc>
      </w:tr>
      <w:tr>
        <w:trPr>
          <w:cantSplit/>
        </w:trPr>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6.6</w:t>
            </w:r>
          </w:p>
        </w:tc>
        <w:tc>
          <w:tcPr>
            <w:tcW w:type="dxa" w:w="55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Establish and Maintain an Inventory of Authentication and Authorization Systems</w:t>
            </w:r>
          </w:p>
        </w:tc>
        <w:tc>
          <w:tcPr>
            <w:tcW w:type="dxa" w:w="30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§7.1</w:t>
            </w:r>
          </w:p>
        </w:tc>
      </w:tr>
      <w:tr>
        <w:trPr>
          <w:cantSplit/>
        </w:trPr>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6.7</w:t>
            </w:r>
          </w:p>
        </w:tc>
        <w:tc>
          <w:tcPr>
            <w:tcW w:type="dxa" w:w="55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Centralize Access Control</w:t>
            </w:r>
          </w:p>
        </w:tc>
        <w:tc>
          <w:tcPr>
            <w:tcW w:type="dxa" w:w="30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§7.1, §7.6</w:t>
            </w:r>
          </w:p>
        </w:tc>
      </w:tr>
      <w:tr>
        <w:trPr>
          <w:cantSplit/>
        </w:trPr>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6.8</w:t>
            </w:r>
          </w:p>
        </w:tc>
        <w:tc>
          <w:tcPr>
            <w:tcW w:type="dxa" w:w="55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Define and Maintain Role-Based Access Control</w:t>
            </w:r>
          </w:p>
        </w:tc>
        <w:tc>
          <w:tcPr>
            <w:tcW w:type="dxa" w:w="30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§7.3</w:t>
            </w:r>
          </w:p>
        </w:tc>
      </w:tr>
    </w:tbl>
    <w:p>
      <w:pPr>
        <w:spacing w:after="120" w:before="80" w:line="276"/>
        <w:jc w:val="left"/>
      </w:pPr>
      <w:r>
        <w:rPr>
          <w:b/>
          <w:bCs/>
          <w:color w:val="222222"/>
          <w:sz w:val="21"/>
          <w:szCs w:val="21"/>
        </w:rPr>
        <w:t xml:space="preserve">Related risks (source-provided). </w:t>
      </w:r>
      <w:r>
        <w:rPr>
          <w:color w:val="222222"/>
          <w:sz w:val="21"/>
          <w:szCs w:val="21"/>
        </w:rPr>
        <w:t xml:space="preserve">The primary risk mitigated by this control is </w:t>
      </w:r>
      <w:r>
        <w:rPr>
          <w:b/>
          <w:bCs/>
          <w:color w:val="222222"/>
          <w:sz w:val="21"/>
          <w:szCs w:val="21"/>
        </w:rPr>
        <w:t xml:space="preserve">RSK-mu0t2oau</w:t>
      </w:r>
      <w:r>
        <w:rPr>
          <w:color w:val="222222"/>
          <w:sz w:val="21"/>
          <w:szCs w:val="21"/>
        </w:rPr>
        <w:t xml:space="preserve"> — “Unauthorized developer exploits excessive privileges causing unapproved model changes to AI Model Training Server” (Access Control; Likelihood 3 / Impact 4; status In Progress; owner Machine Learning Engineering).</w:t>
      </w:r>
    </w:p>
    <w:p>
      <w:pPr>
        <w:spacing w:after="120" w:before="0" w:line="276"/>
        <w:jc w:val="left"/>
      </w:pPr>
      <w:r>
        <w:rPr>
          <w:color w:val="222222"/>
          <w:sz w:val="21"/>
          <w:szCs w:val="21"/>
        </w:rPr>
        <w:t xml:space="preserve">Related access risks (identifiers not exposed in source): external attacker via the AI Network Security Gateway (Access Control; 2 / 5; In Progress; Network Security Team); cloud misconfiguration in the AI Development Cloud Environment (Application Security; 4 / 3; Open; Cloud Engineering); and tester excessive privileges on the Pre-Production Model Validation Server (Access Control; 2 / 3; Closed; Model Validation Team).</w:t>
      </w:r>
    </w:p>
    <w:p>
      <w:pPr>
        <w:spacing w:after="120" w:before="0" w:line="276"/>
        <w:jc w:val="left"/>
      </w:pPr>
      <w:r>
        <w:rPr>
          <w:color w:val="222222"/>
          <w:sz w:val="21"/>
          <w:szCs w:val="21"/>
        </w:rPr>
        <w:t xml:space="preserve">This control is preventive and reduces the likelihood of these access-related risks. Residual-risk treatment for RSK-mu0t2oau remains In Progress under Machine Learning Engineering per the Risk Register; likelihood and impact values are not modified by this document. This control operates alongside Control 2 (User Access Review — NIST CSF PR.AA-05, IAM Team), Control 3 (Change Management — SOC 2 CC8.1, MAL-CTW-003), and Control 8 (Security Log Centralization &amp; Review — CIS 8, Security Operations Team).</w:t>
      </w:r>
    </w:p>
    <w:p>
      <w:pPr>
        <w:pStyle w:val="Heading1"/>
        <w:pBdr>
          <w:bottom w:val="single" w:color="B4BED4" w:sz="6" w:space="3"/>
        </w:pBdr>
      </w:pPr>
      <w:r>
        <w:t xml:space="preserve">5. Methodology</w:t>
      </w:r>
    </w:p>
    <w:p>
      <w:pPr>
        <w:spacing w:after="120" w:before="0" w:line="276"/>
        <w:jc w:val="left"/>
      </w:pPr>
      <w:r>
        <w:rPr>
          <w:b/>
          <w:bCs/>
          <w:color w:val="222222"/>
          <w:sz w:val="21"/>
          <w:szCs w:val="21"/>
        </w:rPr>
        <w:t xml:space="preserve">Basis of development. </w:t>
      </w:r>
      <w:r>
        <w:rPr>
          <w:color w:val="222222"/>
          <w:sz w:val="21"/>
          <w:szCs w:val="21"/>
        </w:rPr>
        <w:t xml:space="preserve">This standard was derived from the Control 4 requirement in the MindfulAI Labs Control Register and mapped to CIS Controls v8, Control 6 (Access Control Management). Requirements are expressed as mandatory statements and scoped to privileged (administrative / elevated) access on the in-scope AI-platform assets listed in Section 3. Where the source register did not expose a field — for example, the control’s internal identifier, description, rationale, and detailed framework references are null — no value has been invented; such fields are identified as not exposed.</w:t>
      </w:r>
    </w:p>
    <w:p>
      <w:pPr>
        <w:spacing w:after="120" w:before="0" w:line="276"/>
        <w:jc w:val="left"/>
      </w:pPr>
      <w:r>
        <w:rPr>
          <w:b/>
          <w:bCs/>
          <w:color w:val="222222"/>
          <w:sz w:val="21"/>
          <w:szCs w:val="21"/>
        </w:rPr>
        <w:t xml:space="preserve">Conformance assessment approach. </w:t>
      </w:r>
      <w:r>
        <w:rPr>
          <w:color w:val="222222"/>
          <w:sz w:val="21"/>
          <w:szCs w:val="21"/>
        </w:rPr>
        <w:t xml:space="preserve">As a preventive control operating on a continuous basis, conformance to this standard would be established through continuous monitoring of MFA enforcement and least-privilege configuration, supported by periodic (at least quarterly) recertification of privileged access. The evidence that would substantiate conformance is identified in Section 11.</w:t>
      </w:r>
    </w:p>
    <w:p>
      <w:pPr>
        <w:spacing w:after="120" w:before="0" w:line="276"/>
        <w:jc w:val="left"/>
      </w:pPr>
      <w:r>
        <w:rPr>
          <w:b/>
          <w:bCs/>
          <w:color w:val="222222"/>
          <w:sz w:val="21"/>
          <w:szCs w:val="21"/>
        </w:rPr>
        <w:t xml:space="preserve">Simulation basis. </w:t>
      </w:r>
      <w:r>
        <w:rPr>
          <w:color w:val="222222"/>
          <w:sz w:val="21"/>
          <w:szCs w:val="21"/>
        </w:rPr>
        <w:t xml:space="preserve">The Q3 2026 conformance summary in Section 8 is a simulated, qualitative illustration of how conformance would be assessed. It was not produced by examining any live identity provider, account inventory, authentication log, or privileged-access-management system, and no live systems, accounts, or logs were accessed. Consistent with the project’s evidence-integrity requirements, items that would require real technical evidence are marked “Evidence Required — Not Provided (Simulated Requirement).”</w:t>
      </w:r>
    </w:p>
    <w:p>
      <w:pPr>
        <w:pStyle w:val="Heading1"/>
        <w:pBdr>
          <w:bottom w:val="single" w:color="B4BED4" w:sz="6" w:space="3"/>
        </w:pBdr>
      </w:pPr>
      <w:r>
        <w:t xml:space="preserve">6. Roles &amp; Responsibilities</w:t>
      </w:r>
    </w:p>
    <w:p>
      <w:pPr>
        <w:spacing w:after="120" w:before="0" w:line="276"/>
        <w:jc w:val="left"/>
      </w:pPr>
      <w:r>
        <w:rPr>
          <w:color w:val="222222"/>
          <w:sz w:val="21"/>
          <w:szCs w:val="21"/>
        </w:rPr>
        <w:t xml:space="preserve">The following RACI reflects the simulated governance structure for this control. The control operator (IAM Team) enforces privileged access on accounts that reside within assets owned by other teams; asset owners remain accountable for access decisions affecting their assets. Team names are drawn from the source register.</w:t>
      </w:r>
    </w:p>
    <w:p>
      <w:pPr>
        <w:spacing w:after="80" w:before="0" w:line="276"/>
        <w:jc w:val="left"/>
      </w:pPr>
      <w:r>
        <w:rPr>
          <w:b/>
          <w:bCs/>
          <w:color w:val="222222"/>
          <w:sz w:val="21"/>
          <w:szCs w:val="21"/>
        </w:rPr>
        <w:t xml:space="preserve">Legend: </w:t>
      </w:r>
      <w:r>
        <w:rPr>
          <w:color w:val="222222"/>
          <w:sz w:val="18"/>
          <w:szCs w:val="18"/>
        </w:rPr>
        <w:t xml:space="preserve">R = Responsible  •  A = Accountable  •  C = Consulted  •  I = Informed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0"/>
        <w:gridCol w:w="1500"/>
        <w:gridCol w:w="1500"/>
        <w:gridCol w:w="1500"/>
        <w:gridCol w:w="1500"/>
      </w:tblGrid>
      <w:tr>
        <w:trPr>
          <w:cantSplit/>
          <w:tblHeader/>
        </w:trPr>
        <w:tc>
          <w:tcPr>
            <w:tcW w:type="dxa" w:w="408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Activity</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7"/>
                <w:szCs w:val="17"/>
              </w:rPr>
              <w:t xml:space="preserve">IAM Team</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7"/>
                <w:szCs w:val="17"/>
              </w:rPr>
              <w:t xml:space="preserve">Asset Owner</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7"/>
                <w:szCs w:val="17"/>
              </w:rPr>
              <w:t xml:space="preserve">Security Operations</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7"/>
                <w:szCs w:val="17"/>
              </w:rPr>
              <w:t xml:space="preserve">GRC Team</w:t>
            </w:r>
          </w:p>
        </w:tc>
      </w:tr>
      <w:tr>
        <w:trPr>
          <w:cantSplit/>
        </w:trPr>
        <w:tc>
          <w:tcPr>
            <w:tcW w:type="dxa" w:w="40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Establish &amp; maintain this security standard</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r>
      <w:tr>
        <w:trPr>
          <w:cantSplit/>
        </w:trPr>
        <w:tc>
          <w:tcPr>
            <w:tcW w:type="dxa" w:w="40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Maintain privileged account / role inventory (§7.1)</w:t>
            </w:r>
          </w:p>
        </w:tc>
        <w:tc>
          <w:tcPr>
            <w:tcW w:type="dxa" w:w="150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 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r>
      <w:tr>
        <w:trPr>
          <w:cantSplit/>
        </w:trPr>
        <w:tc>
          <w:tcPr>
            <w:tcW w:type="dxa" w:w="40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Enforce MFA on privileged access (§7.2)</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r>
      <w:tr>
        <w:trPr>
          <w:cantSplit/>
        </w:trPr>
        <w:tc>
          <w:tcPr>
            <w:tcW w:type="dxa" w:w="40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Design least-privilege roles &amp; SoD (§7.3)</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r>
      <w:tr>
        <w:trPr>
          <w:cantSplit/>
        </w:trPr>
        <w:tc>
          <w:tcPr>
            <w:tcW w:type="dxa" w:w="40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Approve privileged access grants (§7.4)</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R</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r>
      <w:tr>
        <w:trPr>
          <w:cantSplit/>
        </w:trPr>
        <w:tc>
          <w:tcPr>
            <w:tcW w:type="dxa" w:w="40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Perform quarterly privileged-access recertification (§7.6)</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r>
      <w:tr>
        <w:trPr>
          <w:cantSplit/>
        </w:trPr>
        <w:tc>
          <w:tcPr>
            <w:tcW w:type="dxa" w:w="40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Govern break-glass / emergency access (§7.5)</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r>
      <w:tr>
        <w:trPr>
          <w:cantSplit/>
        </w:trPr>
        <w:tc>
          <w:tcPr>
            <w:tcW w:type="dxa" w:w="40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Monitor privileged activity &amp; central logging (§7.6)</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r>
      <w:tr>
        <w:trPr>
          <w:cantSplit/>
        </w:trPr>
        <w:tc>
          <w:tcPr>
            <w:tcW w:type="dxa" w:w="40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Approve exceptions to the standard (§7.7)</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R</w:t>
            </w:r>
          </w:p>
        </w:tc>
      </w:tr>
      <w:tr>
        <w:trPr>
          <w:cantSplit/>
        </w:trPr>
        <w:tc>
          <w:tcPr>
            <w:tcW w:type="dxa" w:w="40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Independent conformance oversight</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7"/>
                <w:szCs w:val="17"/>
              </w:rPr>
              <w:t xml:space="preserve">C</w:t>
            </w:r>
          </w:p>
        </w:tc>
        <w:tc>
          <w:tcPr>
            <w:tcW w:type="dxa" w:w="150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7"/>
                <w:szCs w:val="17"/>
              </w:rPr>
              <w:t xml:space="preserve">A, R</w:t>
            </w:r>
          </w:p>
        </w:tc>
      </w:tr>
    </w:tbl>
    <w:p>
      <w:pPr>
        <w:spacing w:after="120" w:before="60" w:line="276"/>
        <w:jc w:val="left"/>
      </w:pPr>
      <w:r>
        <w:rPr>
          <w:i/>
          <w:iCs/>
          <w:color w:val="7F7F7F"/>
          <w:sz w:val="18"/>
          <w:szCs w:val="18"/>
        </w:rPr>
        <w:t xml:space="preserve">“Security Operations” and “GRC Team” are the owners of related controls in the register (Control 8 and the compliance-assessment control, respectively) and are referenced here for role clarity.</w:t>
      </w:r>
    </w:p>
    <w:p>
      <w:pPr>
        <w:pStyle w:val="Heading1"/>
        <w:pBdr>
          <w:bottom w:val="single" w:color="B4BED4" w:sz="6" w:space="3"/>
        </w:pBdr>
      </w:pPr>
      <w:r>
        <w:t xml:space="preserve">7. Privileged Access &amp; MFA Security Standard — Baseline Requirements</w:t>
      </w:r>
    </w:p>
    <w:p>
      <w:pPr>
        <w:spacing w:after="120" w:before="0" w:line="276"/>
        <w:jc w:val="left"/>
      </w:pPr>
      <w:r>
        <w:rPr>
          <w:color w:val="222222"/>
          <w:sz w:val="21"/>
          <w:szCs w:val="21"/>
        </w:rPr>
        <w:t xml:space="preserve">The following requirements are mandatory (“shall”) for all in-scope privileged access. They define the required control state for Control 4.</w:t>
      </w:r>
    </w:p>
    <w:p>
      <w:pPr>
        <w:pStyle w:val="Heading2"/>
      </w:pPr>
      <w:r>
        <w:t xml:space="preserve">7.1  Privileged Account Identification &amp; Inventory</w:t>
      </w:r>
    </w:p>
    <w:p>
      <w:pPr>
        <w:spacing w:after="120" w:before="0" w:line="276"/>
        <w:jc w:val="left"/>
      </w:pPr>
      <w:r>
        <w:rPr>
          <w:color w:val="222222"/>
          <w:sz w:val="21"/>
          <w:szCs w:val="21"/>
        </w:rPr>
        <w:t xml:space="preserve">A privileged account is any account or role that grants administrative, root, elevated, or security-configuration capabilities over an in-scope asset — including cloud IAM administrator roles, server administrator / root access, application administrator roles, database and data-store administrator access, network-device administrator access, and non-human / service accounts holding elevated entitlements.</w:t>
      </w:r>
    </w:p>
    <w:p>
      <w:pPr>
        <w:pStyle w:val="ListParagraph"/>
        <w:numPr>
          <w:ilvl w:val="0"/>
          <w:numId w:val="1"/>
        </w:numPr>
        <w:spacing w:after="60" w:line="276"/>
      </w:pPr>
      <w:r>
        <w:rPr>
          <w:color w:val="222222"/>
          <w:sz w:val="21"/>
          <w:szCs w:val="21"/>
        </w:rPr>
        <w:t xml:space="preserve">Each in-scope asset owner, together with the IAM Team, shall identify and document all privileged accounts and roles associated with the asset.</w:t>
      </w:r>
    </w:p>
    <w:p>
      <w:pPr>
        <w:pStyle w:val="ListParagraph"/>
        <w:numPr>
          <w:ilvl w:val="0"/>
          <w:numId w:val="1"/>
        </w:numPr>
        <w:spacing w:after="60" w:line="276"/>
      </w:pPr>
      <w:r>
        <w:rPr>
          <w:color w:val="222222"/>
          <w:sz w:val="21"/>
          <w:szCs w:val="21"/>
        </w:rPr>
        <w:t xml:space="preserve">A consolidated inventory of privileged accounts and roles shall be maintained and kept current, with each privileged account mapped to a single accountable individual.</w:t>
      </w:r>
    </w:p>
    <w:p>
      <w:pPr>
        <w:pStyle w:val="ListParagraph"/>
        <w:numPr>
          <w:ilvl w:val="0"/>
          <w:numId w:val="1"/>
        </w:numPr>
        <w:spacing w:after="60" w:line="276"/>
      </w:pPr>
      <w:r>
        <w:rPr>
          <w:color w:val="222222"/>
          <w:sz w:val="21"/>
          <w:szCs w:val="21"/>
        </w:rPr>
        <w:t xml:space="preserve">Shared, generic, or anonymous privileged accounts shall not be used, except for governed break-glass accounts as defined in §7.5.</w:t>
      </w:r>
    </w:p>
    <w:p>
      <w:pPr>
        <w:pStyle w:val="ListParagraph"/>
        <w:numPr>
          <w:ilvl w:val="0"/>
          <w:numId w:val="1"/>
        </w:numPr>
        <w:spacing w:after="60" w:line="276"/>
      </w:pPr>
      <w:r>
        <w:rPr>
          <w:color w:val="222222"/>
          <w:sz w:val="21"/>
          <w:szCs w:val="21"/>
        </w:rPr>
        <w:t xml:space="preserve">The privileged account inventory shall be reviewed on a defined cadence and upon any role change, and reconciled against provisioning records.</w:t>
      </w:r>
    </w:p>
    <w:p>
      <w:pPr>
        <w:pStyle w:val="ListParagraph"/>
        <w:numPr>
          <w:ilvl w:val="0"/>
          <w:numId w:val="1"/>
        </w:numPr>
        <w:spacing w:after="60" w:line="276"/>
      </w:pPr>
      <w:r>
        <w:rPr>
          <w:color w:val="222222"/>
          <w:sz w:val="21"/>
          <w:szCs w:val="21"/>
        </w:rPr>
        <w:t xml:space="preserve">Access control for privileged accounts shall be centralized through the enterprise identity provider wherever technically feasible (CIS v8 6.7).</w:t>
      </w:r>
    </w:p>
    <w:p>
      <w:pPr>
        <w:pStyle w:val="Heading2"/>
      </w:pPr>
      <w:r>
        <w:t xml:space="preserve">7.2  Multi-Factor Authentication</w:t>
      </w:r>
    </w:p>
    <w:p>
      <w:pPr>
        <w:pStyle w:val="ListParagraph"/>
        <w:numPr>
          <w:ilvl w:val="0"/>
          <w:numId w:val="1"/>
        </w:numPr>
        <w:spacing w:after="60" w:line="276"/>
      </w:pPr>
      <w:r>
        <w:rPr>
          <w:color w:val="222222"/>
          <w:sz w:val="21"/>
          <w:szCs w:val="21"/>
        </w:rPr>
        <w:t xml:space="preserve">MFA shall be enforced for all interactive privileged and administrative access to in-scope assets (CIS v8 6.5).</w:t>
      </w:r>
    </w:p>
    <w:p>
      <w:pPr>
        <w:pStyle w:val="ListParagraph"/>
        <w:numPr>
          <w:ilvl w:val="0"/>
          <w:numId w:val="1"/>
        </w:numPr>
        <w:spacing w:after="60" w:line="276"/>
      </w:pPr>
      <w:r>
        <w:rPr>
          <w:color w:val="222222"/>
          <w:sz w:val="21"/>
          <w:szCs w:val="21"/>
        </w:rPr>
        <w:t xml:space="preserve">MFA shall be enforced for administrative access that is remote or traverses untrusted networks, and for any externally reachable administrative interface (CIS v8 6.3, 6.4).</w:t>
      </w:r>
    </w:p>
    <w:p>
      <w:pPr>
        <w:pStyle w:val="ListParagraph"/>
        <w:numPr>
          <w:ilvl w:val="0"/>
          <w:numId w:val="1"/>
        </w:numPr>
        <w:spacing w:after="60" w:line="276"/>
      </w:pPr>
      <w:r>
        <w:rPr>
          <w:color w:val="222222"/>
          <w:sz w:val="21"/>
          <w:szCs w:val="21"/>
        </w:rPr>
        <w:t xml:space="preserve">Standing exemptions from MFA for privileged access shall not be permitted. The only exception is governed break-glass access (§7.5), which shall apply compensating controls.</w:t>
      </w:r>
    </w:p>
    <w:p>
      <w:pPr>
        <w:pStyle w:val="ListParagraph"/>
        <w:numPr>
          <w:ilvl w:val="0"/>
          <w:numId w:val="1"/>
        </w:numPr>
        <w:spacing w:after="60" w:line="276"/>
      </w:pPr>
      <w:r>
        <w:rPr>
          <w:color w:val="222222"/>
          <w:sz w:val="21"/>
          <w:szCs w:val="21"/>
        </w:rPr>
        <w:t xml:space="preserve">MFA enforcement shall be applied at the centralized identity / access layer where feasible, so that enforcement is consistent across in-scope assets.</w:t>
      </w:r>
    </w:p>
    <w:p>
      <w:pPr>
        <w:pStyle w:val="ListParagraph"/>
        <w:numPr>
          <w:ilvl w:val="0"/>
          <w:numId w:val="1"/>
        </w:numPr>
        <w:spacing w:after="60" w:line="276"/>
      </w:pPr>
      <w:r>
        <w:rPr>
          <w:color w:val="222222"/>
          <w:sz w:val="21"/>
          <w:szCs w:val="21"/>
        </w:rPr>
        <w:t xml:space="preserve">MFA enrollment status for privileged accounts shall be maintained and reconciled with the privileged account inventory (§7.1).</w:t>
      </w:r>
    </w:p>
    <w:p>
      <w:pPr>
        <w:pStyle w:val="Heading2"/>
      </w:pPr>
      <w:r>
        <w:t xml:space="preserve">7.3  Least-Privilege &amp; Role Design</w:t>
      </w:r>
    </w:p>
    <w:p>
      <w:pPr>
        <w:pStyle w:val="ListParagraph"/>
        <w:numPr>
          <w:ilvl w:val="0"/>
          <w:numId w:val="1"/>
        </w:numPr>
        <w:spacing w:after="60" w:line="276"/>
      </w:pPr>
      <w:r>
        <w:rPr>
          <w:color w:val="222222"/>
          <w:sz w:val="21"/>
          <w:szCs w:val="21"/>
        </w:rPr>
        <w:t xml:space="preserve">Privileged access shall be granted on a least-privilege, role-based basis; each privileged role shall include only the minimum entitlements required to perform its function (CIS v8 6.8).</w:t>
      </w:r>
    </w:p>
    <w:p>
      <w:pPr>
        <w:pStyle w:val="ListParagraph"/>
        <w:numPr>
          <w:ilvl w:val="0"/>
          <w:numId w:val="1"/>
        </w:numPr>
        <w:spacing w:after="60" w:line="276"/>
      </w:pPr>
      <w:r>
        <w:rPr>
          <w:color w:val="222222"/>
          <w:sz w:val="21"/>
          <w:szCs w:val="21"/>
        </w:rPr>
        <w:t xml:space="preserve">Roles shall be designed to enforce separation of duties so that no single privileged role can both implement and approve production AI model or configuration changes (complementary to Control 3 — Change Management, MAL-CTW-003).</w:t>
      </w:r>
    </w:p>
    <w:p>
      <w:pPr>
        <w:pStyle w:val="ListParagraph"/>
        <w:numPr>
          <w:ilvl w:val="0"/>
          <w:numId w:val="1"/>
        </w:numPr>
        <w:spacing w:after="60" w:line="276"/>
      </w:pPr>
      <w:r>
        <w:rPr>
          <w:color w:val="222222"/>
          <w:sz w:val="21"/>
          <w:szCs w:val="21"/>
        </w:rPr>
        <w:t xml:space="preserve">Standing privileged access shall be minimized; time-bound or just-in-time elevation shall be used for high-risk privileged actions where supported by the platform.</w:t>
      </w:r>
    </w:p>
    <w:p>
      <w:pPr>
        <w:pStyle w:val="ListParagraph"/>
        <w:numPr>
          <w:ilvl w:val="0"/>
          <w:numId w:val="1"/>
        </w:numPr>
        <w:spacing w:after="60" w:line="276"/>
      </w:pPr>
      <w:r>
        <w:rPr>
          <w:color w:val="222222"/>
          <w:sz w:val="21"/>
          <w:szCs w:val="21"/>
        </w:rPr>
        <w:t xml:space="preserve">Privileged entitlements shall be reviewed when roles are created or modified to prevent scope creep.</w:t>
      </w:r>
    </w:p>
    <w:p>
      <w:pPr>
        <w:pStyle w:val="Heading2"/>
      </w:pPr>
      <w:r>
        <w:t xml:space="preserve">7.4  Access Provisioning, Approval &amp; Deprovisioning</w:t>
      </w:r>
    </w:p>
    <w:p>
      <w:pPr>
        <w:pStyle w:val="ListParagraph"/>
        <w:numPr>
          <w:ilvl w:val="0"/>
          <w:numId w:val="1"/>
        </w:numPr>
        <w:spacing w:after="60" w:line="276"/>
      </w:pPr>
      <w:r>
        <w:rPr>
          <w:color w:val="222222"/>
          <w:sz w:val="21"/>
          <w:szCs w:val="21"/>
        </w:rPr>
        <w:t xml:space="preserve">Privileged access shall be granted only through a documented request-and-approval process, with approval by the relevant asset owner and the IAM Team (CIS v8 6.1).</w:t>
      </w:r>
    </w:p>
    <w:p>
      <w:pPr>
        <w:pStyle w:val="ListParagraph"/>
        <w:numPr>
          <w:ilvl w:val="0"/>
          <w:numId w:val="1"/>
        </w:numPr>
        <w:spacing w:after="60" w:line="276"/>
      </w:pPr>
      <w:r>
        <w:rPr>
          <w:color w:val="222222"/>
          <w:sz w:val="21"/>
          <w:szCs w:val="21"/>
        </w:rPr>
        <w:t xml:space="preserve">Privileged access shall be provisioned in accordance with the approved role definition (§7.3) and recorded in the privileged account inventory (§7.1).</w:t>
      </w:r>
    </w:p>
    <w:p>
      <w:pPr>
        <w:pStyle w:val="ListParagraph"/>
        <w:numPr>
          <w:ilvl w:val="0"/>
          <w:numId w:val="1"/>
        </w:numPr>
        <w:spacing w:after="60" w:line="276"/>
      </w:pPr>
      <w:r>
        <w:rPr>
          <w:color w:val="222222"/>
          <w:sz w:val="21"/>
          <w:szCs w:val="21"/>
        </w:rPr>
        <w:t xml:space="preserve">Privileged access shall be revoked promptly upon role change, transfer, or termination, in coordination with the joiner-mover-leaver process (complementary to Control 2 — User Access Review, MAL-ACR-002) (CIS v8 6.2).</w:t>
      </w:r>
    </w:p>
    <w:p>
      <w:pPr>
        <w:pStyle w:val="ListParagraph"/>
        <w:numPr>
          <w:ilvl w:val="0"/>
          <w:numId w:val="1"/>
        </w:numPr>
        <w:spacing w:after="60" w:line="276"/>
      </w:pPr>
      <w:r>
        <w:rPr>
          <w:color w:val="222222"/>
          <w:sz w:val="21"/>
          <w:szCs w:val="21"/>
        </w:rPr>
        <w:t xml:space="preserve">Provisioning and deprovisioning actions shall be logged and retained to support recertification and monitoring.</w:t>
      </w:r>
    </w:p>
    <w:p>
      <w:pPr>
        <w:pStyle w:val="Heading2"/>
      </w:pPr>
      <w:r>
        <w:t xml:space="preserve">7.5  Break-Glass / Emergency Access</w:t>
      </w:r>
    </w:p>
    <w:p>
      <w:pPr>
        <w:pStyle w:val="ListParagraph"/>
        <w:numPr>
          <w:ilvl w:val="0"/>
          <w:numId w:val="1"/>
        </w:numPr>
        <w:spacing w:after="60" w:line="276"/>
      </w:pPr>
      <w:r>
        <w:rPr>
          <w:color w:val="222222"/>
          <w:sz w:val="21"/>
          <w:szCs w:val="21"/>
        </w:rPr>
        <w:t xml:space="preserve">Emergency (break-glass) privileged accounts shall be limited to the minimum necessary and used only when normal privileged access paths are unavailable.</w:t>
      </w:r>
    </w:p>
    <w:p>
      <w:pPr>
        <w:pStyle w:val="ListParagraph"/>
        <w:numPr>
          <w:ilvl w:val="0"/>
          <w:numId w:val="1"/>
        </w:numPr>
        <w:spacing w:after="60" w:line="276"/>
      </w:pPr>
      <w:r>
        <w:rPr>
          <w:color w:val="222222"/>
          <w:sz w:val="21"/>
          <w:szCs w:val="21"/>
        </w:rPr>
        <w:t xml:space="preserve">Break-glass credentials shall be stored securely (for example, in a controlled credential vault) and released only under a documented emergency-access procedure requiring justification.</w:t>
      </w:r>
    </w:p>
    <w:p>
      <w:pPr>
        <w:pStyle w:val="ListParagraph"/>
        <w:numPr>
          <w:ilvl w:val="0"/>
          <w:numId w:val="1"/>
        </w:numPr>
        <w:spacing w:after="60" w:line="276"/>
      </w:pPr>
      <w:r>
        <w:rPr>
          <w:color w:val="222222"/>
          <w:sz w:val="21"/>
          <w:szCs w:val="21"/>
        </w:rPr>
        <w:t xml:space="preserve">Use of a break-glass account shall generate an alert and an access record, and credentials shall be rotated promptly after each use.</w:t>
      </w:r>
    </w:p>
    <w:p>
      <w:pPr>
        <w:pStyle w:val="ListParagraph"/>
        <w:numPr>
          <w:ilvl w:val="0"/>
          <w:numId w:val="1"/>
        </w:numPr>
        <w:spacing w:after="60" w:line="276"/>
      </w:pPr>
      <w:r>
        <w:rPr>
          <w:color w:val="222222"/>
          <w:sz w:val="21"/>
          <w:szCs w:val="21"/>
        </w:rPr>
        <w:t xml:space="preserve">Break-glass accounts shall be excluded from routine interactive use and shall be subject to periodic review of their usage. A specific periodic review cadence is not yet formally defined — see the process-improvement observation in Section 9.</w:t>
      </w:r>
    </w:p>
    <w:p>
      <w:pPr>
        <w:pStyle w:val="Heading2"/>
      </w:pPr>
      <w:r>
        <w:t xml:space="preserve">7.6  Monitoring &amp; Recertification</w:t>
      </w:r>
    </w:p>
    <w:p>
      <w:pPr>
        <w:pStyle w:val="ListParagraph"/>
        <w:numPr>
          <w:ilvl w:val="0"/>
          <w:numId w:val="1"/>
        </w:numPr>
        <w:spacing w:after="60" w:line="276"/>
      </w:pPr>
      <w:r>
        <w:rPr>
          <w:color w:val="222222"/>
          <w:sz w:val="21"/>
          <w:szCs w:val="21"/>
        </w:rPr>
        <w:t xml:space="preserve">Privileged authentication events and administrative actions on in-scope assets shall be logged and forwarded to centralized log management for review of suspicious activity (complementary to Control 8 — Security Log Centralization &amp; Review, CIS 8).</w:t>
      </w:r>
    </w:p>
    <w:p>
      <w:pPr>
        <w:pStyle w:val="ListParagraph"/>
        <w:numPr>
          <w:ilvl w:val="0"/>
          <w:numId w:val="1"/>
        </w:numPr>
        <w:spacing w:after="60" w:line="276"/>
      </w:pPr>
      <w:r>
        <w:rPr>
          <w:color w:val="222222"/>
          <w:sz w:val="21"/>
          <w:szCs w:val="21"/>
        </w:rPr>
        <w:t xml:space="preserve">Privileged accounts and entitlements shall be recertified by asset owners together with the IAM Team on at least a quarterly basis; access no longer required shall be removed.</w:t>
      </w:r>
    </w:p>
    <w:p>
      <w:pPr>
        <w:pStyle w:val="ListParagraph"/>
        <w:numPr>
          <w:ilvl w:val="0"/>
          <w:numId w:val="1"/>
        </w:numPr>
        <w:spacing w:after="60" w:line="276"/>
      </w:pPr>
      <w:r>
        <w:rPr>
          <w:color w:val="222222"/>
          <w:sz w:val="21"/>
          <w:szCs w:val="21"/>
        </w:rPr>
        <w:t xml:space="preserve">Conformance with MFA enforcement and least-privilege requirements shall be monitored on a continuous basis, consistent with the control’s assessment frequency.</w:t>
      </w:r>
    </w:p>
    <w:p>
      <w:pPr>
        <w:pStyle w:val="Heading2"/>
      </w:pPr>
      <w:r>
        <w:t xml:space="preserve">7.7  Exceptions Management</w:t>
      </w:r>
    </w:p>
    <w:p>
      <w:pPr>
        <w:pStyle w:val="ListParagraph"/>
        <w:numPr>
          <w:ilvl w:val="0"/>
          <w:numId w:val="1"/>
        </w:numPr>
        <w:spacing w:after="60" w:line="276"/>
      </w:pPr>
      <w:r>
        <w:rPr>
          <w:color w:val="222222"/>
          <w:sz w:val="21"/>
          <w:szCs w:val="21"/>
        </w:rPr>
        <w:t xml:space="preserve">Any deviation from this standard shall be documented as a formal exception, including business justification, risk assessment, compensating controls, and a defined expiry or review date.</w:t>
      </w:r>
    </w:p>
    <w:p>
      <w:pPr>
        <w:pStyle w:val="ListParagraph"/>
        <w:numPr>
          <w:ilvl w:val="0"/>
          <w:numId w:val="1"/>
        </w:numPr>
        <w:spacing w:after="60" w:line="276"/>
      </w:pPr>
      <w:r>
        <w:rPr>
          <w:color w:val="222222"/>
          <w:sz w:val="21"/>
          <w:szCs w:val="21"/>
        </w:rPr>
        <w:t xml:space="preserve">Exceptions shall be approved by the IAM Team and the GRC Team and recorded in an exception register.</w:t>
      </w:r>
    </w:p>
    <w:p>
      <w:pPr>
        <w:pStyle w:val="ListParagraph"/>
        <w:numPr>
          <w:ilvl w:val="0"/>
          <w:numId w:val="1"/>
        </w:numPr>
        <w:spacing w:after="60" w:line="276"/>
      </w:pPr>
      <w:r>
        <w:rPr>
          <w:color w:val="222222"/>
          <w:sz w:val="21"/>
          <w:szCs w:val="21"/>
        </w:rPr>
        <w:t xml:space="preserve">Open exceptions shall be reviewed at each recertification cycle and closed or renewed based on continued justification.</w:t>
      </w:r>
    </w:p>
    <w:p>
      <w:pPr>
        <w:pStyle w:val="Heading1"/>
        <w:pBdr>
          <w:bottom w:val="single" w:color="B4BED4" w:sz="6" w:space="3"/>
        </w:pBdr>
      </w:pPr>
      <w:r>
        <w:t xml:space="preserve">8. Simulated Conformance Summary — Q3 2026</w:t>
      </w:r>
    </w:p>
    <w:p>
      <w:pPr>
        <w:spacing w:after="120" w:before="0" w:line="276"/>
        <w:jc w:val="left"/>
      </w:pPr>
      <w:r>
        <w:rPr>
          <w:color w:val="222222"/>
          <w:sz w:val="21"/>
          <w:szCs w:val="21"/>
        </w:rPr>
        <w:t xml:space="preserve">The following summary is a simulated, qualitative illustration of how conformance to this standard would be assessed for the Q3 2026 assessment period. It reflects the intended, designed control state and does not represent, and was not derived from, examination of any actual identity provider configuration, privileged account inventory, authentication logs, privileged-access-management records, or other production system. No live systems, accounts, or logs were accessed. Conformance is expressed qualitatively; account counts, coverage percentages, and similar figures are intentionally omitted. To reach a substantiated operating-effectiveness conclusion in a real engagement, the evidence identified in Section 11 would be obtained and evaluated.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2500"/>
        <w:gridCol w:w="4980"/>
      </w:tblGrid>
      <w:tr>
        <w:trPr>
          <w:cantSplit/>
          <w:tblHeader/>
        </w:trPr>
        <w:tc>
          <w:tcPr>
            <w:tcW w:type="dxa" w:w="26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Baseline Area</w:t>
            </w:r>
          </w:p>
        </w:tc>
        <w:tc>
          <w:tcPr>
            <w:tcW w:type="dxa" w:w="25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Simulated Conformance Status</w:t>
            </w:r>
          </w:p>
        </w:tc>
        <w:tc>
          <w:tcPr>
            <w:tcW w:type="dxa" w:w="498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Basis / How Conformance Would Be Assessed</w:t>
            </w:r>
          </w:p>
        </w:tc>
      </w:tr>
      <w:tr>
        <w:trPr>
          <w:cantSplit/>
        </w:trPr>
        <w:tc>
          <w:tcPr>
            <w:tcW w:type="dxa" w:w="26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§7.1  Privileged Account Identification &amp; Inventory</w:t>
            </w:r>
          </w:p>
        </w:tc>
        <w:tc>
          <w:tcPr>
            <w:tcW w:type="dxa" w:w="25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Conforms (Simulated)</w:t>
            </w:r>
          </w:p>
        </w:tc>
        <w:tc>
          <w:tcPr>
            <w:tcW w:type="dxa" w:w="49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Would be assessed by reviewing the maintained privileged account / role inventory and reconciling it to provisioning records for each in-scope asset.</w:t>
            </w:r>
          </w:p>
        </w:tc>
      </w:tr>
      <w:tr>
        <w:trPr>
          <w:cantSplit/>
        </w:trPr>
        <w:tc>
          <w:tcPr>
            <w:tcW w:type="dxa" w:w="2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§7.2  Multi-Factor Authentication</w:t>
            </w:r>
          </w:p>
        </w:tc>
        <w:tc>
          <w:tcPr>
            <w:tcW w:type="dxa" w:w="2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Conforms (Simulated)</w:t>
            </w:r>
          </w:p>
        </w:tc>
        <w:tc>
          <w:tcPr>
            <w:tcW w:type="dxa" w:w="49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Would be assessed by reviewing centralized MFA enforcement policy for privileged / administrative roles and confirming that no standing MFA exemptions exist.</w:t>
            </w:r>
          </w:p>
        </w:tc>
      </w:tr>
      <w:tr>
        <w:trPr>
          <w:cantSplit/>
        </w:trPr>
        <w:tc>
          <w:tcPr>
            <w:tcW w:type="dxa" w:w="26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§7.3  Least-Privilege &amp; Role Design</w:t>
            </w:r>
          </w:p>
        </w:tc>
        <w:tc>
          <w:tcPr>
            <w:tcW w:type="dxa" w:w="25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Conforms (Simulated)</w:t>
            </w:r>
          </w:p>
        </w:tc>
        <w:tc>
          <w:tcPr>
            <w:tcW w:type="dxa" w:w="49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Would be assessed by reviewing privileged role definitions and entitlements against least-privilege and separation-of-duties requirements.</w:t>
            </w:r>
          </w:p>
        </w:tc>
      </w:tr>
      <w:tr>
        <w:trPr>
          <w:cantSplit/>
        </w:trPr>
        <w:tc>
          <w:tcPr>
            <w:tcW w:type="dxa" w:w="2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§7.4  Provisioning, Approval &amp; Deprovisioning</w:t>
            </w:r>
          </w:p>
        </w:tc>
        <w:tc>
          <w:tcPr>
            <w:tcW w:type="dxa" w:w="2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Conforms (Simulated)</w:t>
            </w:r>
          </w:p>
        </w:tc>
        <w:tc>
          <w:tcPr>
            <w:tcW w:type="dxa" w:w="49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Would be assessed by reviewing access request / approval records and revocation records against role-change and termination events.</w:t>
            </w:r>
          </w:p>
        </w:tc>
      </w:tr>
      <w:tr>
        <w:trPr>
          <w:cantSplit/>
        </w:trPr>
        <w:tc>
          <w:tcPr>
            <w:tcW w:type="dxa" w:w="26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§7.5  Break-Glass / Emergency Access</w:t>
            </w:r>
          </w:p>
        </w:tc>
        <w:tc>
          <w:tcPr>
            <w:tcW w:type="dxa" w:w="25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7"/>
                <w:szCs w:val="17"/>
              </w:rPr>
              <w:t xml:space="preserve">Conforms — Observation Noted (Simulated)</w:t>
            </w:r>
          </w:p>
        </w:tc>
        <w:tc>
          <w:tcPr>
            <w:tcW w:type="dxa" w:w="49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Emergency access is controlled (secured credentials, documented justification, alerting, post-use rotation); however, a formal periodic review cadence for break-glass usage is not yet defined. See Section 9.</w:t>
            </w:r>
          </w:p>
        </w:tc>
      </w:tr>
      <w:tr>
        <w:trPr>
          <w:cantSplit/>
        </w:trPr>
        <w:tc>
          <w:tcPr>
            <w:tcW w:type="dxa" w:w="2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§7.6  Monitoring &amp; Recertification</w:t>
            </w:r>
          </w:p>
        </w:tc>
        <w:tc>
          <w:tcPr>
            <w:tcW w:type="dxa" w:w="2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Conforms (Simulated)</w:t>
            </w:r>
          </w:p>
        </w:tc>
        <w:tc>
          <w:tcPr>
            <w:tcW w:type="dxa" w:w="49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Would be assessed by confirming privileged-activity logging to central log management (cross-reference Control 8) and reviewing quarterly recertification records.</w:t>
            </w:r>
          </w:p>
        </w:tc>
      </w:tr>
      <w:tr>
        <w:trPr>
          <w:cantSplit/>
        </w:trPr>
        <w:tc>
          <w:tcPr>
            <w:tcW w:type="dxa" w:w="26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§7.7  Exceptions Management</w:t>
            </w:r>
          </w:p>
        </w:tc>
        <w:tc>
          <w:tcPr>
            <w:tcW w:type="dxa" w:w="25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Conforms (Simulated)</w:t>
            </w:r>
          </w:p>
        </w:tc>
        <w:tc>
          <w:tcPr>
            <w:tcW w:type="dxa" w:w="498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Would be assessed by reviewing the exception register for completeness, approvals, compensating controls, and expiry / review dates.</w:t>
            </w:r>
          </w:p>
        </w:tc>
      </w:tr>
    </w:tbl>
    <w:p>
      <w:pPr>
        <w:spacing w:after="120" w:before="80" w:line="276"/>
        <w:jc w:val="left"/>
      </w:pPr>
      <w:r>
        <w:rPr>
          <w:b/>
          <w:bCs/>
          <w:color w:val="222222"/>
          <w:sz w:val="21"/>
          <w:szCs w:val="21"/>
        </w:rPr>
        <w:t xml:space="preserve">Summary. </w:t>
      </w:r>
      <w:r>
        <w:rPr>
          <w:color w:val="222222"/>
          <w:sz w:val="21"/>
          <w:szCs w:val="21"/>
        </w:rPr>
        <w:t xml:space="preserve">On a qualitative basis, the simulated assessment indicates that the required baseline is established and, as designed, operating to enforce MFA and least-privilege for privileged access across the in-scope AI-platform assets. One process-improvement observation was identified relating to the break-glass review cadence (Section 9); it is not a control exception and does not undermine the control. This position is consistent with the Effective rating recorded in the MindfulAI Labs Control Register. A substantiated operating-effectiveness conclusion would depend on obtaining and evaluating the evidence in Section 11.</w:t>
      </w:r>
    </w:p>
    <w:p>
      <w:pPr>
        <w:pStyle w:val="Heading1"/>
        <w:pBdr>
          <w:bottom w:val="single" w:color="B4BED4" w:sz="6" w:space="3"/>
        </w:pBdr>
      </w:pPr>
      <w:r>
        <w:t xml:space="preserve">9. Process-Improvement Observation</w:t>
      </w:r>
    </w:p>
    <w:p>
      <w:pPr>
        <w:spacing w:after="120" w:before="0" w:line="276"/>
        <w:jc w:val="left"/>
      </w:pPr>
      <w:r>
        <w:rPr>
          <w:color w:val="222222"/>
          <w:sz w:val="21"/>
          <w:szCs w:val="21"/>
        </w:rPr>
        <w:t xml:space="preserve">The following observation is a process-improvement opportunity. It is not a control exception or a finding, and it does not change the Effective rating recorded in the Control Register.</w:t>
      </w:r>
    </w:p>
    <w:p>
      <w:pPr>
        <w:spacing w:after="60" w:before="40" w:line="276"/>
        <w:jc w:val="left"/>
      </w:pPr>
      <w:r>
        <w:rPr>
          <w:b/>
          <w:bCs/>
          <w:color w:val="2F5496"/>
          <w:sz w:val="21"/>
          <w:szCs w:val="21"/>
        </w:rPr>
        <w:t xml:space="preserve">OBS-01 — Break-Glass Review Cadence (Minor)</w:t>
      </w:r>
    </w:p>
    <w:p>
      <w:pPr>
        <w:spacing w:after="120" w:before="0" w:line="276"/>
        <w:jc w:val="left"/>
      </w:pPr>
      <w:r>
        <w:rPr>
          <w:b/>
          <w:bCs/>
          <w:color w:val="222222"/>
          <w:sz w:val="21"/>
          <w:szCs w:val="21"/>
        </w:rPr>
        <w:t xml:space="preserve">Condition: </w:t>
      </w:r>
      <w:r>
        <w:rPr>
          <w:color w:val="222222"/>
          <w:sz w:val="21"/>
          <w:szCs w:val="21"/>
        </w:rPr>
        <w:t xml:space="preserve">The standard requires controlled emergency / break-glass access (§7.5), but a specific periodic review cadence for break-glass account usage has not yet been formally defined.</w:t>
      </w:r>
    </w:p>
    <w:p>
      <w:pPr>
        <w:spacing w:after="120" w:before="0" w:line="276"/>
        <w:jc w:val="left"/>
      </w:pPr>
      <w:r>
        <w:rPr>
          <w:b/>
          <w:bCs/>
          <w:color w:val="222222"/>
          <w:sz w:val="21"/>
          <w:szCs w:val="21"/>
        </w:rPr>
        <w:t xml:space="preserve">Risk / Impact: </w:t>
      </w:r>
      <w:r>
        <w:rPr>
          <w:color w:val="222222"/>
          <w:sz w:val="21"/>
          <w:szCs w:val="21"/>
        </w:rPr>
        <w:t xml:space="preserve">Low. Emergency access is controlled, but inconsistent review timing could delay identification of inappropriate emergency-account use.</w:t>
      </w:r>
    </w:p>
    <w:p>
      <w:pPr>
        <w:spacing w:after="120" w:before="0" w:line="276"/>
        <w:jc w:val="left"/>
      </w:pPr>
      <w:r>
        <w:rPr>
          <w:b/>
          <w:bCs/>
          <w:color w:val="222222"/>
          <w:sz w:val="21"/>
          <w:szCs w:val="21"/>
        </w:rPr>
        <w:t xml:space="preserve">Recommendation: </w:t>
      </w:r>
      <w:r>
        <w:rPr>
          <w:color w:val="222222"/>
          <w:sz w:val="21"/>
          <w:szCs w:val="21"/>
        </w:rPr>
        <w:t xml:space="preserve">Establish a documented quarterly review of break-glass account activity, with review ownership, evidence retention, and escalation requirements.</w:t>
      </w:r>
    </w:p>
    <w:p>
      <w:pPr>
        <w:spacing w:after="120" w:before="0" w:line="276"/>
        <w:jc w:val="left"/>
      </w:pPr>
      <w:r>
        <w:rPr>
          <w:b/>
          <w:bCs/>
          <w:color w:val="222222"/>
          <w:sz w:val="21"/>
          <w:szCs w:val="21"/>
        </w:rPr>
        <w:t xml:space="preserve">Owner: </w:t>
      </w:r>
      <w:r>
        <w:rPr>
          <w:color w:val="222222"/>
          <w:sz w:val="21"/>
          <w:szCs w:val="21"/>
        </w:rPr>
        <w:t xml:space="preserve">IAM Team.   </w:t>
      </w:r>
      <w:r>
        <w:rPr>
          <w:b/>
          <w:bCs/>
          <w:color w:val="222222"/>
          <w:sz w:val="21"/>
          <w:szCs w:val="21"/>
        </w:rPr>
        <w:t xml:space="preserve">Status: </w:t>
      </w:r>
      <w:r>
        <w:rPr>
          <w:color w:val="222222"/>
          <w:sz w:val="21"/>
          <w:szCs w:val="21"/>
        </w:rPr>
        <w:t xml:space="preserve">Open (Simulated).</w:t>
      </w:r>
    </w:p>
    <w:p>
      <w:pPr>
        <w:spacing w:after="120" w:before="0" w:line="276"/>
        <w:jc w:val="left"/>
      </w:pPr>
      <w:r>
        <w:rPr>
          <w:b/>
          <w:bCs/>
          <w:color w:val="222222"/>
          <w:sz w:val="21"/>
          <w:szCs w:val="21"/>
        </w:rPr>
        <w:t xml:space="preserve">Target Remediation: </w:t>
      </w:r>
      <w:r>
        <w:rPr>
          <w:color w:val="222222"/>
          <w:sz w:val="21"/>
          <w:szCs w:val="21"/>
        </w:rPr>
        <w:t xml:space="preserve">Q4 2026.   </w:t>
      </w:r>
      <w:r>
        <w:rPr>
          <w:b/>
          <w:bCs/>
          <w:color w:val="222222"/>
          <w:sz w:val="21"/>
          <w:szCs w:val="21"/>
        </w:rPr>
        <w:t xml:space="preserve">Validation: </w:t>
      </w:r>
      <w:r>
        <w:rPr>
          <w:color w:val="222222"/>
          <w:sz w:val="21"/>
          <w:szCs w:val="21"/>
        </w:rPr>
        <w:t xml:space="preserve">Verify the review requirement and supporting evidence during the next quarterly conformance assessment.</w:t>
      </w:r>
    </w:p>
    <w:p>
      <w:pPr>
        <w:spacing w:after="120" w:before="0" w:line="276"/>
        <w:jc w:val="left"/>
      </w:pPr>
      <w:r>
        <w:rPr>
          <w:b/>
          <w:bCs/>
          <w:color w:val="222222"/>
          <w:sz w:val="21"/>
          <w:szCs w:val="21"/>
        </w:rPr>
        <w:t xml:space="preserve">Disposition: </w:t>
      </w:r>
      <w:r>
        <w:rPr>
          <w:color w:val="222222"/>
          <w:sz w:val="21"/>
          <w:szCs w:val="21"/>
        </w:rPr>
        <w:t xml:space="preserve">This observation is minor and does not change the Effective conclusion for the control.</w:t>
      </w:r>
    </w:p>
    <w:p>
      <w:pPr>
        <w:pStyle w:val="Heading1"/>
        <w:pBdr>
          <w:bottom w:val="single" w:color="B4BED4" w:sz="6" w:space="3"/>
        </w:pBdr>
      </w:pPr>
      <w:r>
        <w:t xml:space="preserve">10. Conclusion</w:t>
      </w:r>
    </w:p>
    <w:p>
      <w:pPr>
        <w:spacing w:after="120" w:before="0" w:line="276"/>
        <w:jc w:val="left"/>
      </w:pPr>
      <w:r>
        <w:rPr>
          <w:color w:val="222222"/>
          <w:sz w:val="21"/>
          <w:szCs w:val="21"/>
        </w:rPr>
        <w:t xml:space="preserve">The Privileged Access &amp; Multi-Factor Authentication Security Standard establishes the required configuration and governance baseline for privileged access to the MindfulAI Labs in-scope AI-platform assets, in support of Control 4 and aligned to CIS Controls v8, Control 6 (Access Control Management). The standard defines mandatory MFA and least-privilege requirements and the supporting governance for account inventory, provisioning and deprovisioning, break-glass access, monitoring, recertification, and exceptions.</w:t>
      </w:r>
    </w:p>
    <w:p>
      <w:pPr>
        <w:spacing w:after="120" w:before="0" w:line="276"/>
        <w:jc w:val="left"/>
      </w:pPr>
      <w:r>
        <w:rPr>
          <w:color w:val="222222"/>
          <w:sz w:val="21"/>
          <w:szCs w:val="21"/>
        </w:rPr>
        <w:t xml:space="preserve">On the basis of the simulated, qualitative conformance summary in Section 8, the control’s design and intended operation satisfy the required attributes, with a single process-improvement observation concerning the break-glass review cadence (Section 9). The observation does not constitute a control exception. Accordingly, the simulated scenario result is Effective, consistent with the effectiveness rating recorded in the MindfulAI Labs Control Register.</w:t>
      </w:r>
    </w:p>
    <w:p>
      <w:pPr>
        <w:spacing w:after="120" w:before="0" w:line="276"/>
        <w:jc w:val="left"/>
      </w:pPr>
      <w:r>
        <w:rPr>
          <w:color w:val="222222"/>
          <w:sz w:val="21"/>
          <w:szCs w:val="21"/>
        </w:rPr>
        <w:t xml:space="preserve">This assessment is based on a simulated portfolio scenario. It does not reflect examination of any actual system, configuration, account, or log. In a real engagement, the evidence identified in Section 11 would be required to substantiate an actual operating-effectiveness conclusion, and the control’s continuous nature would be validated through ongoing monitoring and periodic recertification.</w:t>
      </w:r>
    </w:p>
    <w:p>
      <w:pPr>
        <w:pStyle w:val="Heading1"/>
        <w:pBdr>
          <w:bottom w:val="single" w:color="B4BED4" w:sz="6" w:space="3"/>
        </w:pBdr>
      </w:pPr>
      <w:r>
        <w:t xml:space="preserve">11. Simulated Evidence Requirements — Not Provided</w:t>
      </w:r>
    </w:p>
    <w:p>
      <w:pPr>
        <w:spacing w:after="120" w:before="0" w:line="276"/>
        <w:jc w:val="left"/>
      </w:pPr>
      <w:r>
        <w:rPr>
          <w:color w:val="222222"/>
          <w:sz w:val="21"/>
          <w:szCs w:val="21"/>
        </w:rPr>
        <w:t xml:space="preserve">In a live engagement, the following evidence would be requested and retained to support an operating-effectiveness conclusion for Control 4. For this simulated artifact, no such evidence has been generated or attached.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480"/>
        <w:gridCol w:w="3600"/>
      </w:tblGrid>
      <w:tr>
        <w:trPr>
          <w:cantSplit/>
          <w:tblHeader/>
        </w:trPr>
        <w:tc>
          <w:tcPr>
            <w:tcW w:type="dxa" w:w="648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Evidence Item</w:t>
            </w:r>
          </w:p>
        </w:tc>
        <w:tc>
          <w:tcPr>
            <w:tcW w:type="dxa" w:w="36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Status</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Identity provider / MFA enforcement policy export for privileged roles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Privileged role and entitlement definitions per platform (cloud IAM, server, application, data-store, network device)</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Privileged access request and approval records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PAM / just-in-time access configuration and elevation-grant records (where applicable)</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Break-glass / emergency-access procedure and usage records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Privileged access recertification records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Provisioning / deprovisioning (joiner-mover-leaver) records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Privileged authentication and administrative-action logs (central log management)</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Exception register entries for deviations from this standard</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bl>
    <w:p>
      <w:pPr>
        <w:pStyle w:val="Heading1"/>
        <w:pBdr>
          <w:bottom w:val="single" w:color="B4BED4" w:sz="6" w:space="3"/>
        </w:pBdr>
      </w:pPr>
      <w:r>
        <w:t xml:space="preserve">12. Reviewer / Sign-Off — Not Applicable (Portfolio Simulation)</w:t>
      </w:r>
    </w:p>
    <w:p>
      <w:pPr>
        <w:spacing w:after="120" w:before="0" w:line="276"/>
        <w:jc w:val="left"/>
      </w:pPr>
      <w:r>
        <w:rPr>
          <w:i/>
          <w:iCs/>
          <w:color w:val="222222"/>
          <w:sz w:val="19"/>
          <w:szCs w:val="19"/>
        </w:rPr>
        <w:t xml:space="preserve">Sign-off is not applicable for this portfolio simulation. The blank sign-off table below illustrates the review and approval fields the real artifact would capture.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2680"/>
        <w:gridCol w:w="1900"/>
        <w:gridCol w:w="1500"/>
        <w:gridCol w:w="1400"/>
      </w:tblGrid>
      <w:tr>
        <w:trPr>
          <w:cantSplit/>
          <w:tblHeader/>
        </w:trPr>
        <w:tc>
          <w:tcPr>
            <w:tcW w:type="dxa" w:w="26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Role</w:t>
            </w:r>
          </w:p>
        </w:tc>
        <w:tc>
          <w:tcPr>
            <w:tcW w:type="dxa" w:w="268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Name</w:t>
            </w:r>
          </w:p>
        </w:tc>
        <w:tc>
          <w:tcPr>
            <w:tcW w:type="dxa" w:w="19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Title</w:t>
            </w:r>
          </w:p>
        </w:tc>
        <w:tc>
          <w:tcPr>
            <w:tcW w:type="dxa" w:w="15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Signature</w:t>
            </w:r>
          </w:p>
        </w:tc>
        <w:tc>
          <w:tcPr>
            <w:tcW w:type="dxa" w:w="14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Date</w:t>
            </w:r>
          </w:p>
        </w:tc>
      </w:tr>
      <w:tr>
        <w:trPr>
          <w:cantSplit/>
          <w:trHeight w:val="520" w:hRule="atLeast"/>
        </w:trPr>
        <w:tc>
          <w:tcPr>
            <w:tcW w:type="dxa" w:w="26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8"/>
                <w:szCs w:val="18"/>
              </w:rPr>
              <w:t xml:space="preserve">Prepared By (GRC Analyst)</w:t>
            </w:r>
          </w:p>
        </w:tc>
        <w:tc>
          <w:tcPr>
            <w:tcW w:type="dxa" w:w="26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r>
      <w:tr>
        <w:trPr>
          <w:cantSplit/>
          <w:trHeight w:val="520" w:hRule="atLeast"/>
        </w:trPr>
        <w:tc>
          <w:tcPr>
            <w:tcW w:type="dxa" w:w="26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8"/>
                <w:szCs w:val="18"/>
              </w:rPr>
              <w:t xml:space="preserve">Control Owner Review (IAM Team)</w:t>
            </w:r>
          </w:p>
        </w:tc>
        <w:tc>
          <w:tcPr>
            <w:tcW w:type="dxa" w:w="26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r>
      <w:tr>
        <w:trPr>
          <w:cantSplit/>
          <w:trHeight w:val="520" w:hRule="atLeast"/>
        </w:trPr>
        <w:tc>
          <w:tcPr>
            <w:tcW w:type="dxa" w:w="26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8"/>
                <w:szCs w:val="18"/>
              </w:rPr>
              <w:t xml:space="preserve">Reviewer / Quality Assurance</w:t>
            </w:r>
          </w:p>
        </w:tc>
        <w:tc>
          <w:tcPr>
            <w:tcW w:type="dxa" w:w="26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r>
      <w:tr>
        <w:trPr>
          <w:cantSplit/>
          <w:trHeight w:val="520" w:hRule="atLeast"/>
        </w:trPr>
        <w:tc>
          <w:tcPr>
            <w:tcW w:type="dxa" w:w="26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8"/>
                <w:szCs w:val="18"/>
              </w:rPr>
              <w:t xml:space="preserve">Approver</w:t>
            </w:r>
          </w:p>
        </w:tc>
        <w:tc>
          <w:tcPr>
            <w:tcW w:type="dxa" w:w="26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
            </w:r>
          </w:p>
        </w:tc>
      </w:tr>
    </w:tbl>
    <w:p>
      <w:pPr>
        <w:pStyle w:val="Heading1"/>
        <w:pBdr>
          <w:bottom w:val="single" w:color="B4BED4" w:sz="6" w:space="3"/>
        </w:pBdr>
      </w:pPr>
      <w:r>
        <w:t xml:space="preserve">13. Revision History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50"/>
        <w:gridCol w:w="1700"/>
        <w:gridCol w:w="4930"/>
        <w:gridCol w:w="2300"/>
      </w:tblGrid>
      <w:tr>
        <w:trPr>
          <w:cantSplit/>
          <w:tblHeader/>
        </w:trPr>
        <w:tc>
          <w:tcPr>
            <w:tcW w:type="dxa" w:w="115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Version</w:t>
            </w:r>
          </w:p>
        </w:tc>
        <w:tc>
          <w:tcPr>
            <w:tcW w:type="dxa" w:w="17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Date</w:t>
            </w:r>
          </w:p>
        </w:tc>
        <w:tc>
          <w:tcPr>
            <w:tcW w:type="dxa" w:w="493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Description</w:t>
            </w:r>
          </w:p>
        </w:tc>
        <w:tc>
          <w:tcPr>
            <w:tcW w:type="dxa" w:w="23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Author</w:t>
            </w:r>
          </w:p>
        </w:tc>
      </w:tr>
      <w:tr>
        <w:trPr>
          <w:cantSplit/>
        </w:trPr>
        <w:tc>
          <w:tcPr>
            <w:tcW w:type="dxa" w:w="115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1.0</w:t>
            </w:r>
          </w:p>
        </w:tc>
        <w:tc>
          <w:tcPr>
            <w:tcW w:type="dxa" w:w="17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September 17, 2026</w:t>
            </w:r>
          </w:p>
        </w:tc>
        <w:tc>
          <w:tcPr>
            <w:tcW w:type="dxa" w:w="493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Initial creation of the Privileged Access &amp; Multi-Factor Authentication Security Standard supporting Control 4 (CIS Controls v8, Control 6).</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Maxine Jones, GRC Analyst</w:t>
            </w:r>
          </w:p>
        </w:tc>
      </w:tr>
    </w:tbl>
    <w:p>
      <w:pPr>
        <w:spacing w:after="160"/>
      </w:pPr>
      <w:r>
        <w:rPr>
          <w:color w:val="222222"/>
          <w:sz w:val="21"/>
          <w:szCs w:val="21"/>
        </w:rPr>
        <w:t xml:space="preserve"/>
      </w:r>
    </w:p>
    <w:tbl>
      <w:tblPr>
        <w:tblW w:type="dxa" w:w="10080"/>
        <w:tblBorders>
          <w:top w:val="single" w:color="AAB4CC" w:sz="4"/>
          <w:left w:val="single" w:color="AAB4CC" w:sz="4"/>
          <w:bottom w:val="single" w:color="AAB4CC" w:sz="4"/>
          <w:right w:val="single" w:color="AAB4CC" w:sz="4"/>
          <w:insideH w:val="none"/>
          <w:insideV w:val="none"/>
        </w:tblBorders>
        <w:tblLayout w:type="fixed"/>
      </w:tblPr>
      <w:tblGrid>
        <w:gridCol w:w="10080"/>
      </w:tblGrid>
      <w:tr>
        <w:trPr>
          <w:cantSplit/>
        </w:trPr>
        <w:tc>
          <w:tcPr>
            <w:tcW w:type="dxa" w:w="10080"/>
            <w:shd w:fill="E4E8F4" w:color="auto" w:val="clear"/>
            <w:tcMar>
              <w:top w:type="dxa" w:w="120"/>
              <w:left w:type="dxa" w:w="150"/>
              <w:bottom w:type="dxa" w:w="120"/>
              <w:right w:type="dxa" w:w="150"/>
            </w:tcMar>
          </w:tcPr>
          <w:p>
            <w:pPr>
              <w:spacing w:after="0" w:line="276"/>
            </w:pPr>
            <w:r>
              <w:rPr>
                <w:b/>
                <w:bCs/>
                <w:color w:val="2F5496"/>
                <w:sz w:val="18"/>
                <w:szCs w:val="18"/>
              </w:rPr>
              <w:t xml:space="preserve">Portfolio Simulation Disclosure — </w:t>
            </w:r>
            <w:r>
              <w:rPr>
                <w:i/>
                <w:iCs/>
                <w:color w:val="222222"/>
                <w:sz w:val="18"/>
                <w:szCs w:val="18"/>
              </w:rPr>
              <w:t xml:space="preserve">This artifact was created as part of a simulated GRC practice environment for educational and portfolio purposes and does not represent the records or control environment of an actual organization.</w:t>
            </w:r>
          </w:p>
        </w:tc>
      </w:tr>
    </w:tbl>
    <w:sectPr>
      <w:headerReference w:type="default" r:id="rId7"/>
      <w:footerReference w:type="default" r:id="rId8"/>
      <w:pgSz w:w="12240" w:h="15840" w:orient="portrait"/>
      <w:pgMar w:top="1300" w:right="1080" w:bottom="1080" w:left="1080"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0"/>
      <w:jc w:val="center"/>
    </w:pPr>
    <w:r>
      <w:rPr>
        <w:color w:val="7F7F7F"/>
        <w:sz w:val="16"/>
        <w:szCs w:val="16"/>
      </w:rPr>
      <w:t xml:space="preserve">MAL-STD-004   |   Confidential — Internal Use Only   |   Page </w:t>
    </w:r>
    <w:r>
      <w:rPr>
        <w:b/>
        <w:bCs/>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F7F7F"/>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2F5496"/>
      <w:sz w:val="27"/>
      <w:szCs w:val="27"/>
    </w:rPr>
  </w:style>
  <w:style w:type="paragraph" w:styleId="Heading2">
    <w:name w:val="Heading 2"/>
    <w:basedOn w:val="Normal"/>
    <w:next w:val="Normal"/>
    <w:qFormat/>
    <w:pPr>
      <w:keepNext/>
      <w:spacing w:after="50" w:before="160"/>
      <w:outlineLvl w:val="1"/>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MAL-STD-004 Privileged Access &amp; MFA Security Standard</dc:title>
  <dc:creator>Maxine Jones, GRC Analyst</dc:creator>
  <dc:description>Simulated GRC portfolio artifact — MindfulAI Labs</dc:description>
  <cp:lastModifiedBy>Un-named</cp:lastModifiedBy>
  <cp:revision>1</cp:revision>
  <dcterms:created xsi:type="dcterms:W3CDTF">2026-09-18T06:57:14.453Z</dcterms:created>
  <dcterms:modified xsi:type="dcterms:W3CDTF">2026-09-18T06:57:14.461Z</dcterms:modified>
</cp:coreProperties>
</file>

<file path=docProps/custom.xml><?xml version="1.0" encoding="utf-8"?>
<Properties xmlns="http://schemas.openxmlformats.org/officeDocument/2006/custom-properties" xmlns:vt="http://schemas.openxmlformats.org/officeDocument/2006/docPropsVTypes"/>
</file>