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/>
        <w:jc w:val="left"/>
      </w:pPr>
      <w:r>
        <w:rPr>
          <w:b/>
          <w:bCs/>
          <w:color w:val="2F5496"/>
          <w:sz w:val="26"/>
          <w:szCs w:val="26"/>
        </w:rPr>
        <w:t xml:space="preserve">MindfulAI Labs</w:t>
      </w:r>
    </w:p>
    <w:p>
      <w:pPr>
        <w:spacing w:after="60" w:before="0" w:line="276"/>
        <w:jc w:val="left"/>
      </w:pPr>
      <w:r>
        <w:rPr>
          <w:i/>
          <w:iCs/>
          <w:color w:val="7F7F7F"/>
          <w:sz w:val="19"/>
          <w:szCs w:val="19"/>
        </w:rPr>
        <w:t xml:space="preserve">Simulated GRC Practice Environment</w:t>
      </w:r>
    </w:p>
    <w:p>
      <w:pPr>
        <w:pBdr>
          <w:bottom w:val="single" w:color="1F3864" w:sz="12" w:space="4"/>
        </w:pBdr>
        <w:spacing w:after="40"/>
      </w:pPr>
      <w:r>
        <w:rPr>
          <w:b/>
          <w:bCs/>
          <w:color w:val="1A1A1A"/>
          <w:sz w:val="34"/>
          <w:szCs w:val="34"/>
        </w:rPr>
        <w:t xml:space="preserve">Vulnerability Management Control Assessment / Test Report</w:t>
      </w:r>
    </w:p>
    <w:p>
      <w:pPr>
        <w:spacing w:after="220" w:before="40" w:line="276"/>
        <w:jc w:val="left"/>
      </w:pPr>
      <w:r>
        <w:rPr>
          <w:color w:val="7F7F7F"/>
          <w:sz w:val="20"/>
          <w:szCs w:val="20"/>
        </w:rPr>
        <w:t xml:space="preserve">Production AI API Vulnerability Testing — CTL-005  ·  NIST CSF DE.CM-09</w:t>
      </w:r>
    </w:p>
    <w:p>
      <w:pPr>
        <w:pStyle w:val="Heading1"/>
        <w:pBdr>
          <w:bottom w:val="single" w:color="B4BED4" w:sz="6" w:space="3"/>
        </w:pBdr>
      </w:pPr>
      <w:r>
        <w:t xml:space="preserve">1. Document Control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100"/>
        <w:gridCol w:w="6980"/>
      </w:tblGrid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Vulnerability Management Control Assessment / Test Report — Production AI APIs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MAL-VMA-005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Confidential — Internal Use Only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Control Reference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CTL-005 — Production AI API Vulnerability Testing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Framework Mapping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NIST CSF DE.CM-09 (Continuous Monitoring)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Control Owner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Application Security Team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Primary In-Scope Asset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AST-001 — Clinical Diagnostic AI Model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Maxine Jones, GRC Analyst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Assessment Period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Q3 2026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Assessment Date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______________________  </w:t>
            </w:r>
            <w:r>
              <w:rPr>
                <w:color w:val="7F7F7F"/>
                <w:sz w:val="18"/>
                <w:szCs w:val="18"/>
              </w:rPr>
              <w:t xml:space="preserve">(within Q3 2026 assessment period)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Assessment Frequency (Control)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Monthly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Final — Portfolio Simulation</w:t>
            </w:r>
          </w:p>
        </w:tc>
      </w:tr>
      <w:tr>
        <w:trPr>
          <w:cantSplit/>
        </w:trPr>
        <w:tc>
          <w:tcPr>
            <w:tcW w:type="dxa" w:w="31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Overall Effectiveness Conclusion</w:t>
            </w:r>
          </w:p>
        </w:tc>
        <w:tc>
          <w:tcPr>
            <w:tcW w:type="dxa" w:w="6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Partially Effective</w:t>
            </w:r>
          </w:p>
        </w:tc>
      </w:tr>
    </w:tbl>
    <w:p>
      <w:pPr>
        <w:pStyle w:val="Heading1"/>
        <w:pBdr>
          <w:bottom w:val="single" w:color="B4BED4" w:sz="6" w:space="3"/>
        </w:pBdr>
      </w:pPr>
      <w:r>
        <w:t xml:space="preserve">2. Purpose</w:t>
      </w:r>
    </w:p>
    <w:p>
      <w:pPr>
        <w:spacing w:after="120" w:before="0" w:line="276"/>
        <w:jc w:val="left"/>
      </w:pPr>
      <w:r>
        <w:rPr>
          <w:color w:val="222222"/>
          <w:sz w:val="21"/>
          <w:szCs w:val="21"/>
        </w:rPr>
        <w:t xml:space="preserve">This report documents a simulated assessment of the control that performs vulnerability testing and remediation of identified weaknesses in production AI application programming interfaces (APIs), in support of CTL-005 (NIST CSF DE.CM-09 — Continuous Monitoring). It evaluates whether the control operates to identify, risk-rate, and remediate vulnerabilities in the in-scope production AI service on the control’s defined monthly frequency, and it records the resulting findings, effectiveness determination, and evidence requirements. The control is owned by the Application Security Team.</w:t>
      </w:r>
    </w:p>
    <w:p>
      <w:pPr>
        <w:spacing w:after="120" w:before="0" w:line="276"/>
        <w:jc w:val="left"/>
      </w:pPr>
      <w:r>
        <w:rPr>
          <w:b/>
          <w:bCs/>
          <w:i/>
          <w:iCs/>
          <w:color w:val="222222"/>
          <w:sz w:val="21"/>
          <w:szCs w:val="21"/>
        </w:rPr>
        <w:t xml:space="preserve">All results recorded in this report are simulated, illustrative outcomes produced for a portfolio artifact.</w:t>
      </w:r>
      <w:r>
        <w:rPr>
          <w:i/>
          <w:iCs/>
          <w:color w:val="222222"/>
          <w:sz w:val="21"/>
          <w:szCs w:val="21"/>
        </w:rPr>
        <w:t xml:space="preserve"> They are not derived from an actual vulnerability scan, tool export, remediation ticket, or technical test, and no production system, scanner, or ticketing system was accessed.</w:t>
      </w:r>
    </w:p>
    <w:p>
      <w:pPr>
        <w:pStyle w:val="Heading1"/>
        <w:pBdr>
          <w:bottom w:val="single" w:color="B4BED4" w:sz="6" w:space="3"/>
        </w:pBdr>
      </w:pPr>
      <w:r>
        <w:t xml:space="preserve">3. Scope</w:t>
      </w:r>
    </w:p>
    <w:p>
      <w:pPr>
        <w:spacing w:after="120" w:before="0" w:line="276"/>
        <w:jc w:val="left"/>
      </w:pPr>
      <w:r>
        <w:rPr>
          <w:b/>
          <w:bCs/>
          <w:color w:val="222222"/>
          <w:sz w:val="21"/>
          <w:szCs w:val="21"/>
        </w:rPr>
        <w:t xml:space="preserve">In scope. </w:t>
      </w:r>
      <w:r>
        <w:rPr>
          <w:color w:val="222222"/>
          <w:sz w:val="21"/>
          <w:szCs w:val="21"/>
        </w:rPr>
        <w:t xml:space="preserve">This assessment covers vulnerability testing of the production AI API(s) exposed by the following in-scope asset: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50"/>
        <w:gridCol w:w="2380"/>
        <w:gridCol w:w="1350"/>
        <w:gridCol w:w="1300"/>
        <w:gridCol w:w="1200"/>
        <w:gridCol w:w="2400"/>
      </w:tblGrid>
      <w:tr>
        <w:trPr>
          <w:cantSplit/>
          <w:tblHeader/>
        </w:trPr>
        <w:tc>
          <w:tcPr>
            <w:tcW w:type="dxa" w:w="14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 ID</w:t>
            </w:r>
          </w:p>
        </w:tc>
        <w:tc>
          <w:tcPr>
            <w:tcW w:type="dxa" w:w="2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 Name</w:t>
            </w:r>
          </w:p>
        </w:tc>
        <w:tc>
          <w:tcPr>
            <w:tcW w:type="dxa" w:w="13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AST-001</w:t>
            </w:r>
          </w:p>
        </w:tc>
        <w:tc>
          <w:tcPr>
            <w:tcW w:type="dxa" w:w="23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Clinical Diagnostic AI Model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Production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Clinical AI &amp; Machine Learning Team</w:t>
            </w:r>
          </w:p>
        </w:tc>
      </w:tr>
    </w:tbl>
    <w:p>
      <w:pPr>
        <w:spacing w:after="120" w:before="60" w:line="276"/>
        <w:jc w:val="left"/>
      </w:pPr>
      <w:r>
        <w:rPr>
          <w:b/>
          <w:bCs/>
          <w:color w:val="222222"/>
          <w:sz w:val="21"/>
          <w:szCs w:val="21"/>
        </w:rPr>
        <w:t xml:space="preserve">Assets considered but excluded (pending confirmation of API exposure). </w:t>
      </w:r>
      <w:r>
        <w:rPr>
          <w:color w:val="222222"/>
          <w:sz w:val="21"/>
          <w:szCs w:val="21"/>
        </w:rPr>
        <w:t xml:space="preserve">The following production assets were considered for inclusion but are excluded from this assessment because the source data does not establish that either exposes a production API; including them would require an unsupported assumption. They should be confirmed and, if in scope, assessed separately: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AST-002 — Financial Risk Training Data Repository</w:t>
      </w:r>
      <w:r>
        <w:rPr>
          <w:color w:val="222222"/>
          <w:sz w:val="21"/>
          <w:szCs w:val="21"/>
        </w:rPr>
        <w:t xml:space="preserve"> (Data Store / High / Production). A data store rather than a confirmed API service.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AST-007 — AI Network Security Gateway</w:t>
      </w:r>
      <w:r>
        <w:rPr>
          <w:color w:val="222222"/>
          <w:sz w:val="21"/>
          <w:szCs w:val="21"/>
        </w:rPr>
        <w:t xml:space="preserve"> (Network Device / High / Production). Network-layer device; any management/API interface would need confirmation.</w:t>
      </w:r>
    </w:p>
    <w:p>
      <w:pPr>
        <w:spacing w:after="120" w:before="40" w:line="276"/>
        <w:jc w:val="left"/>
      </w:pPr>
      <w:r>
        <w:rPr>
          <w:b/>
          <w:bCs/>
          <w:color w:val="222222"/>
          <w:sz w:val="21"/>
          <w:szCs w:val="21"/>
        </w:rPr>
        <w:t xml:space="preserve">Plural-control note. </w:t>
      </w:r>
      <w:r>
        <w:rPr>
          <w:color w:val="222222"/>
          <w:sz w:val="21"/>
          <w:szCs w:val="21"/>
        </w:rPr>
        <w:t xml:space="preserve">The control applies to all production AI APIs. This report evidences testing for the selected in-scope production AI service; a full program-level assessment would cover the complete population of production AI APIs.</w:t>
      </w:r>
    </w:p>
    <w:p>
      <w:pPr>
        <w:spacing w:after="120" w:before="40" w:line="276"/>
        <w:jc w:val="left"/>
      </w:pPr>
      <w:r>
        <w:rPr>
          <w:b/>
          <w:bCs/>
          <w:color w:val="222222"/>
          <w:sz w:val="21"/>
          <w:szCs w:val="21"/>
        </w:rPr>
        <w:t xml:space="preserve">Out of scope. </w:t>
      </w:r>
      <w:r>
        <w:rPr>
          <w:color w:val="222222"/>
          <w:sz w:val="21"/>
          <w:szCs w:val="21"/>
        </w:rPr>
        <w:t xml:space="preserve">Non-production environments; operating-system and infrastructure patching handled under separate controls; and the excluded assets above pending confirmation of API exposure.</w:t>
      </w:r>
    </w:p>
    <w:p>
      <w:pPr>
        <w:spacing w:after="120" w:before="40" w:line="276"/>
        <w:jc w:val="left"/>
      </w:pPr>
      <w:r>
        <w:rPr>
          <w:i/>
          <w:iCs/>
          <w:color w:val="7F7F7F"/>
          <w:sz w:val="18"/>
          <w:szCs w:val="18"/>
        </w:rPr>
        <w:t xml:space="preserve">Asset identifiers use the project’s normalized register scheme (AST-001); asset name, type, classification, environment, and owner are source/project data.</w:t>
      </w:r>
    </w:p>
    <w:p>
      <w:pPr>
        <w:pStyle w:val="Heading1"/>
        <w:pBdr>
          <w:bottom w:val="single" w:color="B4BED4" w:sz="6" w:space="3"/>
        </w:pBdr>
      </w:pPr>
      <w:r>
        <w:t xml:space="preserve">4. Control Reference &amp; Framework Mapping</w:t>
      </w:r>
    </w:p>
    <w:p>
      <w:pPr>
        <w:spacing w:after="120" w:before="0" w:line="276"/>
        <w:jc w:val="left"/>
      </w:pPr>
      <w:r>
        <w:rPr>
          <w:b/>
          <w:bCs/>
          <w:color w:val="222222"/>
          <w:sz w:val="21"/>
          <w:szCs w:val="21"/>
        </w:rPr>
        <w:t xml:space="preserve">Control as recorded in the MindfulAI Labs Control Register (source/project data):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Control name: </w:t>
      </w:r>
      <w:r>
        <w:rPr>
          <w:color w:val="222222"/>
          <w:sz w:val="21"/>
          <w:szCs w:val="21"/>
        </w:rPr>
        <w:t xml:space="preserve">Perform vulnerability testing and remediate identified weaknesses in production AI APIs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Framework reference: </w:t>
      </w:r>
      <w:r>
        <w:rPr>
          <w:color w:val="222222"/>
          <w:sz w:val="21"/>
          <w:szCs w:val="21"/>
        </w:rPr>
        <w:t xml:space="preserve">NIST CSF — DE.CM-09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Effectiveness rating: </w:t>
      </w:r>
      <w:r>
        <w:rPr>
          <w:color w:val="222222"/>
          <w:sz w:val="21"/>
          <w:szCs w:val="21"/>
        </w:rPr>
        <w:t xml:space="preserve">Partially Effective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Assessment frequency: </w:t>
      </w:r>
      <w:r>
        <w:rPr>
          <w:color w:val="222222"/>
          <w:sz w:val="21"/>
          <w:szCs w:val="21"/>
        </w:rPr>
        <w:t xml:space="preserve">Monthly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Control owner: </w:t>
      </w:r>
      <w:r>
        <w:rPr>
          <w:color w:val="222222"/>
          <w:sz w:val="21"/>
          <w:szCs w:val="21"/>
        </w:rPr>
        <w:t xml:space="preserve">Application Security Team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Control identifier: </w:t>
      </w:r>
      <w:r>
        <w:rPr>
          <w:color w:val="222222"/>
          <w:sz w:val="21"/>
          <w:szCs w:val="21"/>
        </w:rPr>
        <w:t xml:space="preserve">assigned as CTL-005 under the project’s normalized ID scheme; the source register did not expose an internal identifier. Description, rationale, and detailed framework references remain not exposed in source (null) and were not invented for this document.</w:t>
      </w:r>
    </w:p>
    <w:p>
      <w:pPr>
        <w:spacing w:after="120" w:before="0" w:line="276"/>
        <w:jc w:val="left"/>
      </w:pPr>
      <w:r>
        <w:rPr>
          <w:b/>
          <w:bCs/>
          <w:color w:val="222222"/>
          <w:sz w:val="21"/>
          <w:szCs w:val="21"/>
        </w:rPr>
        <w:t xml:space="preserve">Supplemental framework mapping (portfolio-developed). </w:t>
      </w:r>
      <w:r>
        <w:rPr>
          <w:color w:val="222222"/>
          <w:sz w:val="21"/>
          <w:szCs w:val="21"/>
        </w:rPr>
        <w:t xml:space="preserve">The source register maps this control to NIST CSF DE.CM-09. To show how the control’s requirements align to related NIST CSF 2.0 subcategories, the following mapping was developed for portfolio purposes; only DE.CM-09 is contained in the source register.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50"/>
        <w:gridCol w:w="5030"/>
        <w:gridCol w:w="1500"/>
        <w:gridCol w:w="2200"/>
      </w:tblGrid>
      <w:tr>
        <w:trPr>
          <w:cantSplit/>
          <w:tblHeader/>
        </w:trPr>
        <w:tc>
          <w:tcPr>
            <w:tcW w:type="dxa" w:w="13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NIST CSF 2.0</w:t>
            </w:r>
          </w:p>
        </w:tc>
        <w:tc>
          <w:tcPr>
            <w:tcW w:type="dxa" w:w="503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Subcategory (abbreviated)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</w:t>
            </w:r>
          </w:p>
        </w:tc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Addressed in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DE.CM-09</w:t>
            </w:r>
          </w:p>
        </w:tc>
        <w:tc>
          <w:tcPr>
            <w:tcW w:type="dxa" w:w="50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Assets, runtime environments, and their data are monitored to find potentially adverse events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Source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135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ID.RA-01</w:t>
            </w:r>
          </w:p>
        </w:tc>
        <w:tc>
          <w:tcPr>
            <w:tcW w:type="dxa" w:w="503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Vulnerabilities in assets are identified, validated, and recorded</w:t>
            </w:r>
          </w:p>
        </w:tc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Supplemental</w:t>
            </w:r>
          </w:p>
        </w:tc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§8, §11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ID.RA-06</w:t>
            </w:r>
          </w:p>
        </w:tc>
        <w:tc>
          <w:tcPr>
            <w:tcW w:type="dxa" w:w="50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Risk responses are chosen, prioritized, planned, tracked, and communicated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Supplemental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§11, §12</w:t>
            </w:r>
          </w:p>
        </w:tc>
      </w:tr>
    </w:tbl>
    <w:p>
      <w:pPr>
        <w:pStyle w:val="Heading1"/>
        <w:pBdr>
          <w:bottom w:val="single" w:color="B4BED4" w:sz="6" w:space="3"/>
        </w:pBdr>
      </w:pPr>
      <w:r>
        <w:t xml:space="preserve">5. Linked Register Risk &amp; Coverage Gap</w:t>
      </w:r>
    </w:p>
    <w:p>
      <w:pPr>
        <w:spacing w:after="120" w:before="0" w:line="276"/>
        <w:jc w:val="left"/>
      </w:pPr>
      <w:r>
        <w:rPr>
          <w:b/>
          <w:bCs/>
          <w:color w:val="222222"/>
          <w:sz w:val="21"/>
          <w:szCs w:val="21"/>
        </w:rPr>
        <w:t xml:space="preserve">Related register risks (imperfect mapping). </w:t>
      </w:r>
      <w:r>
        <w:rPr>
          <w:color w:val="222222"/>
          <w:sz w:val="21"/>
          <w:szCs w:val="21"/>
        </w:rPr>
        <w:t xml:space="preserve">The Risk Register does not contain a risk that maps one-to-one to exploitable vulnerabilities in production AI APIs. This control is therefore mapped to the two nearest related risks, with the fit limitation stated explicitly: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RSK-004</w:t>
      </w:r>
      <w:r>
        <w:rPr>
          <w:color w:val="222222"/>
          <w:sz w:val="21"/>
          <w:szCs w:val="21"/>
        </w:rPr>
        <w:t xml:space="preserve"> — “Cloud misconfiguration exploits weak configuration governance causing unauthorized resource exposure to AI Development Cloud Environment” (Application Security; Likelihood 4 / Impact 3; Open; Cloud Engineering). </w:t>
      </w:r>
      <w:r>
        <w:rPr>
          <w:b/>
          <w:bCs/>
          <w:color w:val="222222"/>
          <w:sz w:val="21"/>
          <w:szCs w:val="21"/>
        </w:rPr>
        <w:t xml:space="preserve">Limitation: </w:t>
      </w:r>
      <w:r>
        <w:rPr>
          <w:color w:val="222222"/>
          <w:sz w:val="21"/>
          <w:szCs w:val="21"/>
        </w:rPr>
        <w:t xml:space="preserve">same domain (Application Security), but it concerns configuration governance in a Development environment, not application/API vulnerabilities in production.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color w:val="222222"/>
          <w:sz w:val="21"/>
          <w:szCs w:val="21"/>
        </w:rPr>
        <w:t xml:space="preserve">RSK-006</w:t>
      </w:r>
      <w:r>
        <w:rPr>
          <w:color w:val="222222"/>
          <w:sz w:val="21"/>
          <w:szCs w:val="21"/>
        </w:rPr>
        <w:t xml:space="preserve"> — “External attacker exploits weak network filtering causing unauthorized AI infrastructure access through AI Network Security Gateway” (Access Control; Likelihood 2 / Impact 5; In Progress; Network Security Team). </w:t>
      </w:r>
      <w:r>
        <w:rPr>
          <w:b/>
          <w:bCs/>
          <w:color w:val="222222"/>
          <w:sz w:val="21"/>
          <w:szCs w:val="21"/>
        </w:rPr>
        <w:t xml:space="preserve">Limitation: </w:t>
      </w:r>
      <w:r>
        <w:rPr>
          <w:color w:val="222222"/>
          <w:sz w:val="21"/>
          <w:szCs w:val="21"/>
        </w:rPr>
        <w:t xml:space="preserve">addresses production external exploitation, but at the network/access layer rather than the application/API layer.</w:t>
      </w:r>
    </w:p>
    <w:p>
      <w:pPr>
        <w:spacing w:after="120" w:before="0" w:line="276"/>
        <w:jc w:val="left"/>
      </w:pPr>
      <w:r>
        <w:rPr>
          <w:b/>
          <w:bCs/>
          <w:color w:val="222222"/>
          <w:sz w:val="21"/>
          <w:szCs w:val="21"/>
        </w:rPr>
        <w:t xml:space="preserve">Risk-register coverage gap (observation). </w:t>
      </w:r>
      <w:r>
        <w:rPr>
          <w:color w:val="222222"/>
          <w:sz w:val="21"/>
          <w:szCs w:val="21"/>
        </w:rPr>
        <w:t xml:space="preserve">No risk record in the register specifically addresses exploitable vulnerabilities in production AI APIs — the exact exposure this control mitigates. This is a risk-register coverage gap: the control operates against a risk that is not explicitly represented in the register. Recommendation: add a risk record for “exploitable vulnerabilities in production AI APIs” (owner Application Security Team) and link CTL-005 to it. This item is carried to the consolidated GRC Findings &amp; Remediation Tracker.</w:t>
      </w:r>
    </w:p>
    <w:p>
      <w:pPr>
        <w:spacing w:after="120" w:before="40" w:line="276"/>
        <w:jc w:val="left"/>
      </w:pPr>
      <w:r>
        <w:rPr>
          <w:i/>
          <w:iCs/>
          <w:color w:val="7F7F7F"/>
          <w:sz w:val="18"/>
          <w:szCs w:val="18"/>
        </w:rPr>
        <w:t xml:space="preserve">Risk identifiers RSK-004 and RSK-006 use the project’s normalized register scheme; their source identifiers were not exposed (null). Likelihood/impact/status/owner values are source/project data and are not modified by this report.</w:t>
      </w:r>
    </w:p>
    <w:p>
      <w:pPr>
        <w:pStyle w:val="Heading1"/>
        <w:pBdr>
          <w:bottom w:val="single" w:color="B4BED4" w:sz="6" w:space="3"/>
        </w:pBdr>
      </w:pPr>
      <w:r>
        <w:t xml:space="preserve">6. Methodology (Simulated Assessment Procedure)</w:t>
      </w:r>
    </w:p>
    <w:p>
      <w:pPr>
        <w:spacing w:after="120" w:before="0" w:line="276"/>
        <w:jc w:val="left"/>
      </w:pPr>
      <w:r>
        <w:rPr>
          <w:color w:val="222222"/>
          <w:sz w:val="21"/>
          <w:szCs w:val="21"/>
        </w:rPr>
        <w:t xml:space="preserve">The following procedure describes how the monthly vulnerability-testing control would be assessed. Steps marked “evidence required” depend on artifacts that would be collected in a live engagement (see Section 14).</w:t>
      </w:r>
    </w:p>
    <w:p>
      <w:pPr>
        <w:spacing w:after="60" w:line="276"/>
        <w:ind w:left="360" w:hanging="360"/>
      </w:pPr>
      <w:r>
        <w:rPr>
          <w:b/>
          <w:bCs/>
          <w:color w:val="222222"/>
          <w:sz w:val="21"/>
          <w:szCs w:val="21"/>
        </w:rPr>
        <w:t xml:space="preserve">1.  </w:t>
      </w:r>
      <w:r>
        <w:rPr>
          <w:color w:val="222222"/>
          <w:sz w:val="21"/>
          <w:szCs w:val="21"/>
        </w:rPr>
        <w:t xml:space="preserve">Obtain the inventory of production AI APIs / endpoints for the in-scope service and reconcile it to the authenticated vulnerability-scan scope. (Evidence required.)</w:t>
      </w:r>
    </w:p>
    <w:p>
      <w:pPr>
        <w:spacing w:after="60" w:line="276"/>
        <w:ind w:left="360" w:hanging="360"/>
      </w:pPr>
      <w:r>
        <w:rPr>
          <w:b/>
          <w:bCs/>
          <w:color w:val="222222"/>
          <w:sz w:val="21"/>
          <w:szCs w:val="21"/>
        </w:rPr>
        <w:t xml:space="preserve">2.  </w:t>
      </w:r>
      <w:r>
        <w:rPr>
          <w:color w:val="222222"/>
          <w:sz w:val="21"/>
          <w:szCs w:val="21"/>
        </w:rPr>
        <w:t xml:space="preserve">Confirm that authenticated vulnerability testing is performed at least monthly and that scans reach protected endpoints. (Evidence required.)</w:t>
      </w:r>
    </w:p>
    <w:p>
      <w:pPr>
        <w:spacing w:after="60" w:line="276"/>
        <w:ind w:left="360" w:hanging="360"/>
      </w:pPr>
      <w:r>
        <w:rPr>
          <w:b/>
          <w:bCs/>
          <w:color w:val="222222"/>
          <w:sz w:val="21"/>
          <w:szCs w:val="21"/>
        </w:rPr>
        <w:t xml:space="preserve">3.  </w:t>
      </w:r>
      <w:r>
        <w:rPr>
          <w:color w:val="222222"/>
          <w:sz w:val="21"/>
          <w:szCs w:val="21"/>
        </w:rPr>
        <w:t xml:space="preserve">Review identified vulnerabilities and confirm each is risk-rated against a defined severity scale. (Evidence required.)</w:t>
      </w:r>
    </w:p>
    <w:p>
      <w:pPr>
        <w:spacing w:after="60" w:line="276"/>
        <w:ind w:left="360" w:hanging="360"/>
      </w:pPr>
      <w:r>
        <w:rPr>
          <w:b/>
          <w:bCs/>
          <w:color w:val="222222"/>
          <w:sz w:val="21"/>
          <w:szCs w:val="21"/>
        </w:rPr>
        <w:t xml:space="preserve">4.  </w:t>
      </w:r>
      <w:r>
        <w:rPr>
          <w:color w:val="222222"/>
          <w:sz w:val="21"/>
          <w:szCs w:val="21"/>
        </w:rPr>
        <w:t xml:space="preserve">Review remediation records and evaluate adherence to severity-based remediation SLAs, including any overdue items. (Evidence required.)</w:t>
      </w:r>
    </w:p>
    <w:p>
      <w:pPr>
        <w:spacing w:after="60" w:line="276"/>
        <w:ind w:left="360" w:hanging="360"/>
      </w:pPr>
      <w:r>
        <w:rPr>
          <w:b/>
          <w:bCs/>
          <w:color w:val="222222"/>
          <w:sz w:val="21"/>
          <w:szCs w:val="21"/>
        </w:rPr>
        <w:t xml:space="preserve">5.  </w:t>
      </w:r>
      <w:r>
        <w:rPr>
          <w:color w:val="222222"/>
          <w:sz w:val="21"/>
          <w:szCs w:val="21"/>
        </w:rPr>
        <w:t xml:space="preserve">Confirm that remediated vulnerabilities were retested and closed with supporting evidence. (Evidence required.)</w:t>
      </w:r>
    </w:p>
    <w:p>
      <w:pPr>
        <w:spacing w:after="60" w:line="276"/>
        <w:ind w:left="360" w:hanging="360"/>
      </w:pPr>
      <w:r>
        <w:rPr>
          <w:b/>
          <w:bCs/>
          <w:color w:val="222222"/>
          <w:sz w:val="21"/>
          <w:szCs w:val="21"/>
        </w:rPr>
        <w:t xml:space="preserve">6.  </w:t>
      </w:r>
      <w:r>
        <w:rPr>
          <w:color w:val="222222"/>
          <w:sz w:val="21"/>
          <w:szCs w:val="21"/>
        </w:rPr>
        <w:t xml:space="preserve">Assess whether testing includes AI-specific abuse cases for production AI APIs (input/prompt validation, model-inference abuse).</w:t>
      </w:r>
    </w:p>
    <w:p>
      <w:pPr>
        <w:spacing w:after="60" w:line="276"/>
        <w:ind w:left="360" w:hanging="360"/>
      </w:pPr>
      <w:r>
        <w:rPr>
          <w:b/>
          <w:bCs/>
          <w:color w:val="222222"/>
          <w:sz w:val="21"/>
          <w:szCs w:val="21"/>
        </w:rPr>
        <w:t xml:space="preserve">7.  </w:t>
      </w:r>
      <w:r>
        <w:rPr>
          <w:color w:val="222222"/>
          <w:sz w:val="21"/>
          <w:szCs w:val="21"/>
        </w:rPr>
        <w:t xml:space="preserve">Disposition each identified deficiency with an assigned owner, remediation action, status, and target date, and determine the operating effectiveness of the control for the assessment period.</w:t>
      </w:r>
    </w:p>
    <w:p>
      <w:pPr>
        <w:pStyle w:val="Heading1"/>
        <w:pBdr>
          <w:bottom w:val="single" w:color="B4BED4" w:sz="6" w:space="3"/>
        </w:pBdr>
      </w:pPr>
      <w:r>
        <w:t xml:space="preserve">7. Roles &amp; Responsibilities</w:t>
      </w:r>
    </w:p>
    <w:p>
      <w:pPr>
        <w:spacing w:after="120" w:before="0" w:line="276"/>
        <w:jc w:val="left"/>
      </w:pPr>
      <w:r>
        <w:rPr>
          <w:color w:val="222222"/>
          <w:sz w:val="21"/>
          <w:szCs w:val="21"/>
        </w:rPr>
        <w:t xml:space="preserve">The following RACI is portfolio-developed and reflects the simulated governance structure for this control. Team names are drawn from the source register.</w:t>
      </w:r>
    </w:p>
    <w:p>
      <w:pPr>
        <w:spacing w:after="80" w:before="0" w:line="276"/>
        <w:jc w:val="left"/>
      </w:pPr>
      <w:r>
        <w:rPr>
          <w:b/>
          <w:bCs/>
          <w:color w:val="222222"/>
          <w:sz w:val="21"/>
          <w:szCs w:val="21"/>
        </w:rPr>
        <w:t xml:space="preserve">Legend: </w:t>
      </w:r>
      <w:r>
        <w:rPr>
          <w:color w:val="222222"/>
          <w:sz w:val="18"/>
          <w:szCs w:val="18"/>
        </w:rPr>
        <w:t xml:space="preserve">R = Responsible  •  A = Accountable  •  C = Consulted  •  I = Informed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780"/>
        <w:gridCol w:w="1575"/>
        <w:gridCol w:w="1575"/>
        <w:gridCol w:w="1575"/>
        <w:gridCol w:w="1575"/>
      </w:tblGrid>
      <w:tr>
        <w:trPr>
          <w:cantSplit/>
          <w:tblHeader/>
        </w:trPr>
        <w:tc>
          <w:tcPr>
            <w:tcW w:type="dxa" w:w="37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1575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 Security</w:t>
            </w:r>
          </w:p>
        </w:tc>
        <w:tc>
          <w:tcPr>
            <w:tcW w:type="dxa" w:w="1575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 Owner</w:t>
            </w:r>
          </w:p>
        </w:tc>
        <w:tc>
          <w:tcPr>
            <w:tcW w:type="dxa" w:w="1575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AI Engineering</w:t>
            </w:r>
          </w:p>
        </w:tc>
        <w:tc>
          <w:tcPr>
            <w:tcW w:type="dxa" w:w="1575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GRC Team</w:t>
            </w:r>
          </w:p>
        </w:tc>
      </w:tr>
      <w:tr>
        <w:trPr>
          <w:cantSplit/>
        </w:trPr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Define &amp; maintain the vulnerability-testing program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A, R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7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Maintain API inventory &amp; scan scope (§8)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A, R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Perform monthly authenticated scanning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A, R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Risk-rate &amp; triage identified vulnerabilities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A, R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Remediate identified vulnerabilities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7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Track remediation against SLA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A, R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7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Independent assessment &amp; effectiveness reporting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</w:t>
            </w:r>
          </w:p>
        </w:tc>
        <w:tc>
          <w:tcPr>
            <w:tcW w:type="dxa" w:w="15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A, R</w:t>
            </w:r>
          </w:p>
        </w:tc>
      </w:tr>
    </w:tbl>
    <w:p>
      <w:pPr>
        <w:spacing w:after="120" w:before="60" w:line="276"/>
        <w:jc w:val="left"/>
      </w:pPr>
      <w:r>
        <w:rPr>
          <w:i/>
          <w:iCs/>
          <w:color w:val="7F7F7F"/>
          <w:sz w:val="18"/>
          <w:szCs w:val="18"/>
        </w:rPr>
        <w:t xml:space="preserve">Asset Owner = Clinical AI &amp; Machine Learning Team (AST-001); AI Engineering = AI Engineering Team. Roles are illustrative for the simulated scenario.</w:t>
      </w:r>
    </w:p>
    <w:p>
      <w:pPr>
        <w:pStyle w:val="Heading1"/>
        <w:pBdr>
          <w:bottom w:val="single" w:color="B4BED4" w:sz="6" w:space="3"/>
        </w:pBdr>
      </w:pPr>
      <w:r>
        <w:t xml:space="preserve">8. Control Attributes &amp; Simulated Assessment Results</w:t>
      </w:r>
    </w:p>
    <w:p>
      <w:pPr>
        <w:spacing w:after="120" w:before="0" w:line="276"/>
        <w:jc w:val="left"/>
      </w:pPr>
      <w:r>
        <w:rPr>
          <w:color w:val="222222"/>
          <w:sz w:val="21"/>
          <w:szCs w:val="21"/>
        </w:rPr>
        <w:t xml:space="preserve">The control was assessed against the attributes below. Results are qualitative; account counts, CVE identifiers, scan totals, and similar figures are intentionally omitted. “Met (Simulated)” indicates an attribute assessed as satisfied within this simulated scenario; a “Gap” indicates a deficiency carried to Findings (Section 11).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80"/>
        <w:gridCol w:w="2300"/>
        <w:gridCol w:w="4600"/>
        <w:gridCol w:w="2700"/>
      </w:tblGrid>
      <w:tr>
        <w:trPr>
          <w:cantSplit/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 Attribute</w:t>
            </w:r>
          </w:p>
        </w:tc>
        <w:tc>
          <w:tcPr>
            <w:tcW w:type="dxa" w:w="4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Objective / Expected State</w:t>
            </w:r>
          </w:p>
        </w:tc>
        <w:tc>
          <w:tcPr>
            <w:tcW w:type="dxa" w:w="2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Simulated Result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API inventory &amp; scan scope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All production AI APIs for the in-scope service are enumerated and included in the authenticated scan scope.</w:t>
            </w:r>
          </w:p>
        </w:tc>
        <w:tc>
          <w:tcPr>
            <w:tcW w:type="dxa" w:w="2700"/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9C4A00"/>
                <w:sz w:val="17"/>
                <w:szCs w:val="17"/>
              </w:rPr>
              <w:t xml:space="preserve">Gap (Simulated) — VUL-01</w:t>
            </w:r>
          </w:p>
        </w:tc>
      </w:tr>
      <w:tr>
        <w:trPr>
          <w:cantSplit/>
        </w:trPr>
        <w:tc>
          <w:tcPr>
            <w:tcW w:type="dxa" w:w="4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Testing cadence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Authenticated vulnerability testing is performed at least monthly.</w:t>
            </w:r>
          </w:p>
        </w:tc>
        <w:tc>
          <w:tcPr>
            <w:tcW w:type="dxa" w:w="2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Met (Simulated)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Authenticated scanning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Scans are executed with authentication where applicable to reach protected endpoints.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Met (Simulated)</w:t>
            </w:r>
          </w:p>
        </w:tc>
      </w:tr>
      <w:tr>
        <w:trPr>
          <w:cantSplit/>
        </w:trPr>
        <w:tc>
          <w:tcPr>
            <w:tcW w:type="dxa" w:w="4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Severity triage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Identified vulnerabilities are risk-rated against a defined severity scale.</w:t>
            </w:r>
          </w:p>
        </w:tc>
        <w:tc>
          <w:tcPr>
            <w:tcW w:type="dxa" w:w="2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Met (Simulated)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Remediation tracking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Findings are tracked to closure with assigned owners.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Met (Simulated)</w:t>
            </w:r>
          </w:p>
        </w:tc>
      </w:tr>
      <w:tr>
        <w:trPr>
          <w:cantSplit/>
        </w:trPr>
        <w:tc>
          <w:tcPr>
            <w:tcW w:type="dxa" w:w="4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Remediation timeliness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Vulnerabilities are remediated within defined severity-based SLA windows.</w:t>
            </w:r>
          </w:p>
        </w:tc>
        <w:tc>
          <w:tcPr>
            <w:tcW w:type="dxa" w:w="2700"/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9C4A00"/>
                <w:sz w:val="17"/>
                <w:szCs w:val="17"/>
              </w:rPr>
              <w:t xml:space="preserve">Gap (Simulated) — VUL-02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Retest &amp; closure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Remediated items are retested and closed with supporting evidence.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Met (Simulated)</w:t>
            </w:r>
          </w:p>
        </w:tc>
      </w:tr>
      <w:tr>
        <w:trPr>
          <w:cantSplit/>
        </w:trPr>
        <w:tc>
          <w:tcPr>
            <w:tcW w:type="dxa" w:w="4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AI-specific API testing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Testing includes AI-specific abuse cases (input/prompt validation, model-inference abuse) for production AI APIs.</w:t>
            </w:r>
          </w:p>
        </w:tc>
        <w:tc>
          <w:tcPr>
            <w:tcW w:type="dxa" w:w="2700"/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9C4A00"/>
                <w:sz w:val="17"/>
                <w:szCs w:val="17"/>
              </w:rPr>
              <w:t xml:space="preserve">Gap — Observation (Simulated) — VUL-03</w:t>
            </w:r>
          </w:p>
        </w:tc>
      </w:tr>
    </w:tbl>
    <w:p>
      <w:pPr>
        <w:spacing w:after="120" w:before="60" w:line="276"/>
        <w:jc w:val="left"/>
      </w:pPr>
      <w:r>
        <w:rPr>
          <w:i/>
          <w:iCs/>
          <w:color w:val="7F7F7F"/>
          <w:sz w:val="18"/>
          <w:szCs w:val="18"/>
        </w:rPr>
        <w:t xml:space="preserve">Attributes and simulated results are portfolio-developed to illustrate how the monthly vulnerability-testing control would be assessed. They do not reflect an actual scan, tool export, or technical test; supporting evidence for each attribute is listed in Section 14 as Evidence Required — Not Provided.</w:t>
      </w:r>
    </w:p>
    <w:p>
      <w:pPr>
        <w:pStyle w:val="Heading1"/>
        <w:pBdr>
          <w:bottom w:val="single" w:color="B4BED4" w:sz="6" w:space="3"/>
        </w:pBdr>
      </w:pPr>
      <w:r>
        <w:t xml:space="preserve">9. Assessment Summary (Simulated)</w:t>
      </w:r>
    </w:p>
    <w:p>
      <w:pPr>
        <w:spacing w:after="120" w:before="0" w:line="276"/>
        <w:jc w:val="left"/>
      </w:pPr>
      <w:r>
        <w:rPr>
          <w:b/>
          <w:bCs/>
          <w:color w:val="222222"/>
          <w:sz w:val="21"/>
          <w:szCs w:val="21"/>
        </w:rPr>
        <w:t xml:space="preserve">Assessment Summary (Simulated): </w:t>
      </w:r>
      <w:r>
        <w:rPr>
          <w:color w:val="222222"/>
          <w:sz w:val="21"/>
          <w:szCs w:val="21"/>
        </w:rPr>
        <w:t xml:space="preserve">The simulated assessment found that a vulnerability-management process for production AI APIs is established and operating — authenticated scanning at a monthly cadence, severity-based triage, and remediation tracking are in place (attributes 2–5, 7). The assessment identified two deficiencies — an incomplete scan-coverage reconciliation (VUL-01) and inconsistent remediation timeliness (VUL-02) — and one process-improvement observation regarding the absence of AI-specific API testing (VUL-03). These demonstrate meaningful gaps in coverage and timeliness while showing that the underlying control exists and operates.</w:t>
      </w:r>
    </w:p>
    <w:p>
      <w:pPr>
        <w:pStyle w:val="Heading1"/>
        <w:pBdr>
          <w:bottom w:val="single" w:color="B4BED4" w:sz="6" w:space="3"/>
        </w:pBdr>
      </w:pPr>
      <w:r>
        <w:t xml:space="preserve">10. Findings Summary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00"/>
        <w:gridCol w:w="3300"/>
        <w:gridCol w:w="2280"/>
        <w:gridCol w:w="1300"/>
        <w:gridCol w:w="2000"/>
      </w:tblGrid>
      <w:tr>
        <w:trPr>
          <w:cantSplit/>
          <w:tblHeader/>
        </w:trPr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3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Deficiency / Type</w:t>
            </w:r>
          </w:p>
        </w:tc>
        <w:tc>
          <w:tcPr>
            <w:tcW w:type="dxa" w:w="22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Attribute Area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Remediation Status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VUL-01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Scan coverage gap (Finding)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Coverage / scan scope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 Progress (Sim.)</w:t>
            </w:r>
          </w:p>
        </w:tc>
      </w:tr>
      <w:tr>
        <w:trPr>
          <w:cantSplit/>
        </w:trPr>
        <w:tc>
          <w:tcPr>
            <w:tcW w:type="dxa" w:w="1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VUL-02</w:t>
            </w:r>
          </w:p>
        </w:tc>
        <w:tc>
          <w:tcPr>
            <w:tcW w:type="dxa" w:w="3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Remediation timeliness (Finding)</w:t>
            </w:r>
          </w:p>
        </w:tc>
        <w:tc>
          <w:tcPr>
            <w:tcW w:type="dxa" w:w="2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Remediation SLA</w:t>
            </w:r>
          </w:p>
        </w:tc>
        <w:tc>
          <w:tcPr>
            <w:tcW w:type="dxa" w:w="1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 Progress (Sim.)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VUL-03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AI-specific testing gap (Observation)</w:t>
            </w:r>
          </w:p>
        </w:tc>
        <w:tc>
          <w:tcPr>
            <w:tcW w:type="dxa" w:w="22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Test scope (AI)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Open (Sim.)</w:t>
            </w:r>
          </w:p>
        </w:tc>
      </w:tr>
    </w:tbl>
    <w:p>
      <w:pPr>
        <w:pStyle w:val="Heading1"/>
        <w:pBdr>
          <w:bottom w:val="single" w:color="B4BED4" w:sz="6" w:space="3"/>
        </w:pBdr>
      </w:pPr>
      <w:r>
        <w:t xml:space="preserve">11. Detailed Findings</w:t>
      </w:r>
    </w:p>
    <w:p>
      <w:pPr>
        <w:spacing w:after="60" w:before="40" w:line="276"/>
        <w:jc w:val="left"/>
      </w:pPr>
      <w:r>
        <w:rPr>
          <w:b/>
          <w:bCs/>
          <w:color w:val="2F5496"/>
          <w:sz w:val="21"/>
          <w:szCs w:val="21"/>
        </w:rPr>
        <w:t xml:space="preserve">VUL-01 — Scan Coverage Gap (Finding)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Control deficiency (Finding) — coverage / scan scope.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Condition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Authenticated monthly scanning is established for the in-scope production AI service, but the API/endpoint inventory is not consistently reconciled to the scan scope, so one or more production endpoints associated with AST-001 may be omitted from a given monthly cycle. (Simulated.)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Risk / Impact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Unscanned production endpoints could harbor undetected exploitable vulnerabilities in a Critical AI service that processes sensitive data (loosely related to RSK-004 / RSK-006; see Section 5).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Severity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Medium.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Reconcile the API/endpoint inventory to the authenticated scan scope each monthly cycle and add a coverage-completeness check that flags any production endpoint not covered by a scan in the period.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Application Security Team (execution), with Clinical AI &amp; Machine Learning Team (asset-owner support).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Remediation Status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In Progress (Simulated).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Target Remediation Date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November 30, 2026 (Simulated).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Re-confirm scope-to-inventory reconciliation and coverage evidence at the next monthly assessment.</w:t>
            </w:r>
          </w:p>
        </w:tc>
      </w:tr>
    </w:tbl>
    <w:p>
      <w:pPr>
        <w:spacing w:after="60" w:before="120" w:line="276"/>
        <w:jc w:val="left"/>
      </w:pPr>
      <w:r>
        <w:rPr>
          <w:b/>
          <w:bCs/>
          <w:color w:val="2F5496"/>
          <w:sz w:val="21"/>
          <w:szCs w:val="21"/>
        </w:rPr>
        <w:t xml:space="preserve">VUL-02 — Remediation Timeliness (Finding)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Control deficiency (Finding) — remediation SLA.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Condition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Identified vulnerabilities are tracked and risk-rated, but remediation SLA adherence is inconsistent: a subset of findings — including at least one higher-severity finding — exceeded their defined remediation windows before closure. (Simulated.)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Risk / Impact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Known vulnerabilities remaining open past their SLA extend the exposure window on a production AI service and increase the likelihood of exploitation before remediation.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Severity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Medium.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Enforce severity-based remediation SLAs, escalate overdue items to the asset owner and management, and report SLA-adherence metrics on the control’s monthly cadence.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Application Security Team (tracking), with Clinical AI &amp; Machine Learning Team (accountable for remediation) and AI Engineering Team (fixes).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Remediation Status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In Progress (Simulated).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Target Remediation Date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November 30, 2026 (Simulated).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Review SLA-adherence metrics and overdue-item aging at the next monthly assessment.</w:t>
            </w:r>
          </w:p>
        </w:tc>
      </w:tr>
    </w:tbl>
    <w:p>
      <w:pPr>
        <w:spacing w:after="60" w:before="120" w:line="276"/>
        <w:jc w:val="left"/>
      </w:pPr>
      <w:r>
        <w:rPr>
          <w:b/>
          <w:bCs/>
          <w:color w:val="2F5496"/>
          <w:sz w:val="21"/>
          <w:szCs w:val="21"/>
        </w:rPr>
        <w:t xml:space="preserve">VUL-03 — AI-Specific Security Testing Gap (Observation)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Process-Improvement Observation — not a control exception.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Condition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Conventional web/API vulnerability testing is performed, but the testing program does not yet include AI-specific abuse cases (for example, input/prompt validation and model-inference abuse) for the production AI API. (Simulated.)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Risk / Impact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Low. Conventional vulnerability coverage exists; however, the AI-specific attack surface of the model endpoint may not be fully evaluated by conventional API testing alone.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Severity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Low (Observation).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Extend the testing program to include AI/LLM-specific test cases for production AI APIs, aligned to emerging AI-security testing guidance; pilot on the in-scope service first.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Application Security Team.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Remediation Status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Open (Simulated).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Target Remediation Date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Q4 2026 (Simulated).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Confirm AI-specific test cases and results at a subsequent assessment.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Effect on Rating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Contributes context; the Partially Effective rating rests primarily on VUL-01 and VUL-02.</w:t>
            </w:r>
          </w:p>
        </w:tc>
      </w:tr>
    </w:tbl>
    <w:p>
      <w:pPr>
        <w:spacing w:after="120" w:before="80" w:line="276"/>
        <w:jc w:val="left"/>
      </w:pPr>
      <w:r>
        <w:rPr>
          <w:b/>
          <w:bCs/>
          <w:color w:val="222222"/>
          <w:sz w:val="21"/>
          <w:szCs w:val="21"/>
        </w:rPr>
        <w:t xml:space="preserve">Note: </w:t>
      </w:r>
      <w:r>
        <w:rPr>
          <w:i/>
          <w:iCs/>
          <w:color w:val="222222"/>
          <w:sz w:val="21"/>
          <w:szCs w:val="21"/>
        </w:rPr>
        <w:t xml:space="preserve">No actual technical testing or remediation was performed. Findings, severities, remediation statuses, and target dates are simulated planning values representing the scenario state.</w:t>
      </w:r>
    </w:p>
    <w:p>
      <w:pPr>
        <w:pStyle w:val="Heading1"/>
        <w:pBdr>
          <w:bottom w:val="single" w:color="B4BED4" w:sz="6" w:space="3"/>
        </w:pBdr>
      </w:pPr>
      <w:r>
        <w:t xml:space="preserve">12. Effectiveness Determination</w:t>
      </w:r>
    </w:p>
    <w:p>
      <w:pPr>
        <w:spacing w:after="120" w:before="0" w:line="276"/>
        <w:jc w:val="left"/>
      </w:pPr>
      <w:r>
        <w:rPr>
          <w:color w:val="222222"/>
          <w:sz w:val="21"/>
          <w:szCs w:val="21"/>
        </w:rPr>
        <w:t xml:space="preserve">The rating below is derived from the design of the control and the operating deficiencies identified during the simulated assessment.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Design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A vulnerability-management process for production AI APIs is defined and operating — authenticated scanning at a monthly cadence, severity-based triage, remediation tracking, and retest/closure are established (attributes 2–5, 7). On this basis the control is not rated Ineffective.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Operating deficiencies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color w:val="222222"/>
                <w:sz w:val="18"/>
                <w:szCs w:val="18"/>
              </w:rPr>
              <w:t xml:space="preserve">The assessment identified an incomplete scan-coverage reconciliation (VUL-01) and inconsistent remediation timeliness (VUL-02), with an additional process-improvement observation on AI-specific testing (VUL-03). The control does not consistently achieve complete scan coverage or timely remediation. On this basis the control is not rated Effective.</w:t>
            </w:r>
          </w:p>
        </w:tc>
      </w:tr>
      <w:tr>
        <w:trPr>
          <w:cantSplit/>
        </w:trPr>
        <w:tc>
          <w:tcPr>
            <w:tcW w:type="dxa" w:w="26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Overall conclusion</w:t>
            </w:r>
          </w:p>
        </w:tc>
        <w:tc>
          <w:tcPr>
            <w:tcW w:type="dxa" w:w="7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Partially Effective for the Q3 2026 assessment period.</w:t>
            </w:r>
          </w:p>
        </w:tc>
      </w:tr>
    </w:tbl>
    <w:p>
      <w:pPr>
        <w:pStyle w:val="Heading1"/>
        <w:pBdr>
          <w:bottom w:val="single" w:color="B4BED4" w:sz="6" w:space="3"/>
        </w:pBdr>
      </w:pPr>
      <w:r>
        <w:t xml:space="preserve">13. Conclusion</w:t>
      </w:r>
    </w:p>
    <w:p>
      <w:pPr>
        <w:spacing w:after="120" w:before="0" w:line="276"/>
        <w:jc w:val="left"/>
      </w:pPr>
      <w:r>
        <w:rPr>
          <w:color w:val="222222"/>
          <w:sz w:val="21"/>
          <w:szCs w:val="21"/>
        </w:rPr>
        <w:t xml:space="preserve">Within this simulated GRC scenario, the documented assessment results are consistent with the Partially Effective rating recorded for CTL-005 in the MindfulAI Labs Control Register. The identified deficiencies — an incomplete scan-coverage reconciliation and inconsistent remediation timeliness, together with the absence of AI-specific API testing — demonstrate why the simulated scenario result is Partially Effective rather than Effective. No actual vulnerability scanning, tooling, or remediation was performed; the results are illustrative and do not represent testing against an actual production environment.</w:t>
      </w:r>
    </w:p>
    <w:p>
      <w:pPr>
        <w:spacing w:after="120" w:before="0" w:line="276"/>
        <w:jc w:val="left"/>
      </w:pPr>
      <w:r>
        <w:rPr>
          <w:b/>
          <w:bCs/>
          <w:color w:val="222222"/>
          <w:sz w:val="21"/>
          <w:szCs w:val="21"/>
        </w:rPr>
        <w:t xml:space="preserve">Residual risk. </w:t>
      </w:r>
      <w:r>
        <w:rPr>
          <w:color w:val="222222"/>
          <w:sz w:val="21"/>
          <w:szCs w:val="21"/>
        </w:rPr>
        <w:t xml:space="preserve">Residual risk remains elevated until VUL-01 and VUL-02 are remediated, as coverage and timeliness gaps mean some vulnerabilities in the in-scope production AI service (AST-001) may remain undetected or open past target windows. Residual risk is expected to reduce upon completion of the Q4 2026 remediation actions and re-assessment. The remediation actions in Section 11 and the risk-register coverage gap in Section 5 are carried to the consolidated GRC Findings &amp; Remediation Tracker.</w:t>
      </w:r>
    </w:p>
    <w:p>
      <w:pPr>
        <w:pStyle w:val="Heading1"/>
        <w:pBdr>
          <w:bottom w:val="single" w:color="B4BED4" w:sz="6" w:space="3"/>
        </w:pBdr>
      </w:pPr>
      <w:r>
        <w:t xml:space="preserve">14. Simulated Evidence Requirements — Not Provided</w:t>
      </w:r>
    </w:p>
    <w:p>
      <w:pPr>
        <w:spacing w:after="120" w:before="0" w:line="276"/>
        <w:jc w:val="left"/>
      </w:pPr>
      <w:r>
        <w:rPr>
          <w:color w:val="222222"/>
          <w:sz w:val="21"/>
          <w:szCs w:val="21"/>
        </w:rPr>
        <w:t xml:space="preserve">In a live engagement, the following evidence would be requested and retained to support the assessment conclusions. For this simulated artifact, no such evidence has been generated or attached.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480"/>
        <w:gridCol w:w="3600"/>
      </w:tblGrid>
      <w:tr>
        <w:trPr>
          <w:cantSplit/>
          <w:tblHeader/>
        </w:trPr>
        <w:tc>
          <w:tcPr>
            <w:tcW w:type="dxa" w:w="64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Item</w:t>
            </w:r>
          </w:p>
        </w:tc>
        <w:tc>
          <w:tcPr>
            <w:tcW w:type="dxa" w:w="3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Authenticated vulnerability-scan reports for in-scope production AI APIs (monthly)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4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API / endpoint inventory reconciled to scan scope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Vulnerability findings register with severity ratings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4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Remediation tickets with timestamps and SLA tracking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Retest / closure evidence for remediated findings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4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AI-specific security test cases and results (where applicable)</w:t>
            </w:r>
          </w:p>
        </w:tc>
        <w:tc>
          <w:tcPr>
            <w:tcW w:type="dxa" w:w="3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Evidence Required — Not Provided (Simulated Requirement)</w:t>
            </w:r>
          </w:p>
        </w:tc>
      </w:tr>
      <w:tr>
        <w:trPr>
          <w:cantSplit/>
        </w:trPr>
        <w:tc>
          <w:tcPr>
            <w:tcW w:type="dxa" w:w="64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Vulnerability-management procedure and remediation-SLA policy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Evidence Required — Not Provided (Simulated Requirement)</w:t>
            </w:r>
          </w:p>
        </w:tc>
      </w:tr>
    </w:tbl>
    <w:p>
      <w:pPr>
        <w:pStyle w:val="Heading1"/>
        <w:pBdr>
          <w:bottom w:val="single" w:color="B4BED4" w:sz="6" w:space="3"/>
        </w:pBdr>
      </w:pPr>
      <w:r>
        <w:t xml:space="preserve">15. Reviewer / Sign-Off — Not Applicable (Portfolio Simulation)</w:t>
      </w:r>
    </w:p>
    <w:p>
      <w:pPr>
        <w:spacing w:after="120" w:before="0" w:line="276"/>
        <w:jc w:val="left"/>
      </w:pPr>
      <w:r>
        <w:rPr>
          <w:i/>
          <w:iCs/>
          <w:color w:val="222222"/>
          <w:sz w:val="19"/>
          <w:szCs w:val="19"/>
        </w:rPr>
        <w:t xml:space="preserve">Sign-off is not applicable for this portfolio simulation. The blank sign-off table below illustrates the review and approval fields the real artifact would capture.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900"/>
        <w:gridCol w:w="2680"/>
        <w:gridCol w:w="1900"/>
        <w:gridCol w:w="1200"/>
        <w:gridCol w:w="1400"/>
      </w:tblGrid>
      <w:tr>
        <w:trPr>
          <w:cantSplit/>
          <w:tblHeader/>
        </w:trPr>
        <w:tc>
          <w:tcPr>
            <w:tcW w:type="dxa" w:w="2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6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cantSplit/>
          <w:trHeight w:val="500" w:hRule="atLeast"/>
        </w:trPr>
        <w:tc>
          <w:tcPr>
            <w:tcW w:type="dxa" w:w="29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Assessment Performed By (GRC Analyst)</w:t>
            </w:r>
          </w:p>
        </w:tc>
        <w:tc>
          <w:tcPr>
            <w:tcW w:type="dxa" w:w="2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9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Control Owner Attestation (Application Security Team)</w:t>
            </w:r>
          </w:p>
        </w:tc>
        <w:tc>
          <w:tcPr>
            <w:tcW w:type="dxa" w:w="2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9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Reviewer / Quality Assurance</w:t>
            </w:r>
          </w:p>
        </w:tc>
        <w:tc>
          <w:tcPr>
            <w:tcW w:type="dxa" w:w="2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900"/>
            <w:shd w:fill="DCE3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Approver</w:t>
            </w:r>
          </w:p>
        </w:tc>
        <w:tc>
          <w:tcPr>
            <w:tcW w:type="dxa" w:w="268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B4BED4" w:sz="6" w:space="3"/>
        </w:pBdr>
      </w:pPr>
      <w:r>
        <w:t xml:space="preserve">16. Revision History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150"/>
        <w:gridCol w:w="1700"/>
        <w:gridCol w:w="4930"/>
        <w:gridCol w:w="2300"/>
      </w:tblGrid>
      <w:tr>
        <w:trPr>
          <w:cantSplit/>
          <w:tblHeader/>
        </w:trPr>
        <w:tc>
          <w:tcPr>
            <w:tcW w:type="dxa" w:w="115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93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September 26, 2026</w:t>
            </w:r>
          </w:p>
        </w:tc>
        <w:tc>
          <w:tcPr>
            <w:tcW w:type="dxa" w:w="49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Initial creation of the Vulnerability Management Control Assessment / Test Report supporting CTL-005 (NIST CSF DE.CM-09).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Maxine Jones, GRC Analyst</w:t>
            </w:r>
          </w:p>
        </w:tc>
      </w:tr>
    </w:tbl>
    <w:p>
      <w:pPr>
        <w:spacing w:after="160"/>
      </w:pPr>
      <w:r>
        <w:rPr>
          <w:color w:val="222222"/>
          <w:sz w:val="21"/>
          <w:szCs w:val="21"/>
        </w:rPr>
        <w:t xml:space="preserve"/>
      </w:r>
    </w:p>
    <w:tbl>
      <w:tblPr>
        <w:tblW w:type="dxa" w:w="1008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none"/>
          <w:insideV w:val="none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shd w:fill="E4E8F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76"/>
            </w:pPr>
            <w:r>
              <w:rPr>
                <w:b/>
                <w:bCs/>
                <w:color w:val="2F5496"/>
                <w:sz w:val="18"/>
                <w:szCs w:val="18"/>
              </w:rPr>
              <w:t xml:space="preserve">Portfolio Simulation Disclosure — </w:t>
            </w:r>
            <w:r>
              <w:rPr>
                <w:i/>
                <w:iCs/>
                <w:color w:val="222222"/>
                <w:sz w:val="18"/>
                <w:szCs w:val="18"/>
              </w:rPr>
              <w:t xml:space="preserve">This artifact was created as part of a simulated GRC practice environment for educational and portfolio purposes and does not represent the records or control environment of an actual organization.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80" w:bottom="1080" w:left="1080" w:header="68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0"/>
      <w:jc w:val="center"/>
    </w:pPr>
    <w:r>
      <w:rPr>
        <w:color w:val="7F7F7F"/>
        <w:sz w:val="16"/>
        <w:szCs w:val="16"/>
      </w:rPr>
      <w:t xml:space="preserve">MAL-VMA-005   |   Confidential — Internal Use Only   |   Page </w:t>
    </w:r>
    <w:r>
      <w:rPr>
        <w:b/>
        <w:bCs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7F7F7F"/>
        <w:sz w:val="16"/>
        <w:szCs w:val="16"/>
      </w:rPr>
      <w:t xml:space="preserve">MindfulAI Labs — Simulated GRC Practice Environment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2F5496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50" w:before="160"/>
      <w:outlineLvl w:val="1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MAL-VMA-005 Vulnerability Management Control Assessment / Test Report</dc:title>
  <dc:creator>Maxine Jones, GRC Analyst</dc:creator>
  <dc:description>Simulated GRC portfolio artifact — MindfulAI Labs</dc:description>
  <cp:lastModifiedBy>Un-named</cp:lastModifiedBy>
  <cp:revision>1</cp:revision>
  <dcterms:created xsi:type="dcterms:W3CDTF">2026-09-26T05:27:16.974Z</dcterms:created>
  <dcterms:modified xsi:type="dcterms:W3CDTF">2026-09-26T05:27:16.978Z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