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MindfulAI Labs</w:t>
      </w:r>
    </w:p>
    <w:p>
      <w:pPr>
        <w:spacing w:after="200"/>
      </w:pPr>
      <w:r>
        <w:rPr>
          <w:rFonts w:ascii="Calibri" w:cs="Calibri" w:eastAsia="Calibri" w:hAnsi="Calibri"/>
          <w:i/>
          <w:iCs/>
          <w:color w:val="7F7F7F"/>
          <w:sz w:val="21"/>
          <w:szCs w:val="21"/>
        </w:rPr>
        <w:t xml:space="preserve">Simulated GRC Practice Environment</w:t>
      </w:r>
    </w:p>
    <w:p>
      <w:pPr>
        <w:spacing w:after="60"/>
      </w:pPr>
      <w:r>
        <w:rPr>
          <w:rFonts w:ascii="Calibri" w:cs="Calibri" w:eastAsia="Calibri" w:hAnsi="Calibri"/>
          <w:b/>
          <w:bCs/>
          <w:color w:val="1F3864"/>
          <w:sz w:val="30"/>
          <w:szCs w:val="30"/>
        </w:rPr>
        <w:t xml:space="preserve">Third-Party AI Vendor Risk Assessment</w:t>
      </w:r>
    </w:p>
    <w:p>
      <w:pPr>
        <w:pBdr>
          <w:bottom w:val="single" w:color="1F3864" w:sz="12" w:space="4"/>
        </w:pBdr>
        <w:spacing w:after="200"/>
      </w:pPr>
      <w:r>
        <w:rPr>
          <w:rFonts w:ascii="Calibri" w:cs="Calibri" w:eastAsia="Calibri" w:hAnsi="Calibri"/>
          <w:color w:val="222222"/>
          <w:sz w:val="21"/>
          <w:szCs w:val="21"/>
        </w:rPr>
        <w:t xml:space="preserve">Pre-Approval Security and Privacy Risk Assessment of Third-Party AI Vendors and Services — CTL-010 · SOC 2 CC9.2</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Document Title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AI Vendor Risk Assessment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Document ID</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MAL-VRA-010</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Version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1.0</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Classification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Confidential — Internal Use Only</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Control Reference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CTL-010 — Assess security and privacy risks before approving third-party AI vendors and services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Framework Mapping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SOC 2 CC9.2</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Control Frequency</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Continuous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Control Owner</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Risk Management Team</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Scope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AI vendor and service approval population (see Section 3)</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Prepared By</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Maxine Jones, GRC Analyst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Period</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Q3 2026</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Planning / Preparation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September 27, 2026</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Source Rating</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Ineffective</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Conclusion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Ineffective</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Final — Portfolio Simulation</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2. Purpose</w:t>
      </w:r>
    </w:p>
    <w:p>
      <w:pPr>
        <w:spacing w:after="120" w:before="0" w:line="264"/>
      </w:pPr>
      <w:r>
        <w:rPr>
          <w:rFonts w:ascii="Calibri" w:cs="Calibri" w:eastAsia="Calibri" w:hAnsi="Calibri"/>
          <w:color w:val="222222"/>
          <w:sz w:val="21"/>
          <w:szCs w:val="21"/>
        </w:rPr>
        <w:t xml:space="preserve">This report documents a simulated assessment of the control that requires security and privacy risks to be assessed before third-party AI vendors and services are approved (CTL-010, SOC 2 CC9.2, owned by the Third-Party Risk Management Team). It evaluates the design of the control and its operation for the Q3 2026 assessment period, records the resulting findings, and states an effectiveness determination.</w:t>
      </w:r>
    </w:p>
    <w:p>
      <w:pPr>
        <w:spacing w:after="120" w:before="0" w:line="264"/>
      </w:pPr>
      <w:r>
        <w:rPr>
          <w:rFonts w:ascii="Calibri" w:cs="Calibri" w:eastAsia="Calibri" w:hAnsi="Calibri"/>
          <w:i/>
          <w:iCs/>
          <w:color w:val="222222"/>
          <w:sz w:val="21"/>
          <w:szCs w:val="21"/>
        </w:rPr>
        <w:t xml:space="preserve">All results in this report are simulated scenario conditions produced for a portfolio artifact. No vendor, contract, questionnaire, approval record, or third-party assurance report was reviewed, and no production system or vendor-management tool was accessed. No vendors are named.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3. Scope</w:t>
      </w:r>
    </w:p>
    <w:p>
      <w:pPr>
        <w:spacing w:after="120" w:before="0" w:line="264"/>
      </w:pPr>
      <w:r>
        <w:rPr>
          <w:rFonts w:ascii="Calibri" w:cs="Calibri" w:eastAsia="Calibri" w:hAnsi="Calibri"/>
          <w:b/>
          <w:bCs/>
          <w:color w:val="222222"/>
          <w:sz w:val="21"/>
          <w:szCs w:val="21"/>
        </w:rPr>
        <w:t xml:space="preserve">In scope.</w:t>
      </w:r>
      <w:r>
        <w:rPr>
          <w:rFonts w:ascii="Calibri" w:cs="Calibri" w:eastAsia="Calibri" w:hAnsi="Calibri"/>
          <w:color w:val="222222"/>
          <w:sz w:val="21"/>
          <w:szCs w:val="21"/>
        </w:rPr>
        <w:t xml:space="preserve"> The population of third-party AI vendors and services submitted for approval during the assessment period, and the security and privacy risk assessment that the control requires before each approval decision.</w:t>
      </w:r>
    </w:p>
    <w:p>
      <w:pPr>
        <w:spacing w:after="120" w:before="0" w:line="264"/>
      </w:pPr>
      <w:r>
        <w:rPr>
          <w:rFonts w:ascii="Calibri" w:cs="Calibri" w:eastAsia="Calibri" w:hAnsi="Calibri"/>
          <w:b/>
          <w:bCs/>
          <w:color w:val="222222"/>
          <w:sz w:val="21"/>
          <w:szCs w:val="21"/>
        </w:rPr>
        <w:t xml:space="preserve">Population basis.</w:t>
      </w:r>
      <w:r>
        <w:rPr>
          <w:rFonts w:ascii="Calibri" w:cs="Calibri" w:eastAsia="Calibri" w:hAnsi="Calibri"/>
          <w:color w:val="222222"/>
          <w:sz w:val="21"/>
          <w:szCs w:val="21"/>
        </w:rPr>
        <w:t xml:space="preserve"> The source records do not provide a vendor or service inventory (see VRA-03), so the population subject to the control cannot be established from the available records. The assessment is therefore performed at population level, without named vendors or individual vendor records.</w:t>
      </w:r>
    </w:p>
    <w:p>
      <w:pPr>
        <w:spacing w:after="120" w:before="0" w:line="264"/>
      </w:pPr>
      <w:r>
        <w:rPr>
          <w:rFonts w:ascii="Calibri" w:cs="Calibri" w:eastAsia="Calibri" w:hAnsi="Calibri"/>
          <w:b/>
          <w:bCs/>
          <w:color w:val="222222"/>
          <w:sz w:val="21"/>
          <w:szCs w:val="21"/>
        </w:rPr>
        <w:t xml:space="preserve">Related assets.</w:t>
      </w:r>
      <w:r>
        <w:rPr>
          <w:rFonts w:ascii="Calibri" w:cs="Calibri" w:eastAsia="Calibri" w:hAnsi="Calibri"/>
          <w:color w:val="222222"/>
          <w:sz w:val="21"/>
          <w:szCs w:val="21"/>
        </w:rPr>
        <w:t xml:space="preserve"> None of the 11 register assets is a vendor, external AI service, or vendor register, and the source does not establish a vendor relationship with any register asset. AST-001 (Clinical Diagnostic AI Model; Application; Critical; Production; Clinical AI &amp; Machine Learning Team) processes sensitive health information and would be relevant if a third-party AI service were to access or supply it. No such relationship is asserted.</w:t>
      </w:r>
    </w:p>
    <w:p>
      <w:pPr>
        <w:spacing w:after="120" w:before="0" w:line="264"/>
      </w:pPr>
      <w:r>
        <w:rPr>
          <w:rFonts w:ascii="Calibri" w:cs="Calibri" w:eastAsia="Calibri" w:hAnsi="Calibri"/>
          <w:b/>
          <w:bCs/>
          <w:color w:val="222222"/>
          <w:sz w:val="21"/>
          <w:szCs w:val="21"/>
        </w:rPr>
        <w:t xml:space="preserve">Out of scope.</w:t>
      </w:r>
      <w:r>
        <w:rPr>
          <w:rFonts w:ascii="Calibri" w:cs="Calibri" w:eastAsia="Calibri" w:hAnsi="Calibri"/>
          <w:color w:val="222222"/>
          <w:sz w:val="21"/>
          <w:szCs w:val="21"/>
        </w:rPr>
        <w:t xml:space="preserve"> Technical security testing of vendor systems; contract negotiation; day-to-day operation of approved services; and the operation of other controls in the register. Post-approval monitoring is addressed only as a maturity observation (VRA-04).</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4. Control Reference &amp; Framework Mapping</w:t>
      </w:r>
    </w:p>
    <w:p>
      <w:pPr>
        <w:spacing w:after="60" w:before="0" w:line="264"/>
      </w:pPr>
      <w:r>
        <w:rPr>
          <w:rFonts w:ascii="Calibri" w:cs="Calibri" w:eastAsia="Calibri" w:hAnsi="Calibri"/>
          <w:b/>
          <w:bCs/>
          <w:color w:val="222222"/>
          <w:sz w:val="21"/>
          <w:szCs w:val="21"/>
        </w:rPr>
        <w:t xml:space="preserve">Control as recorded in the MindfulAI Labs Control Register (source data):</w:t>
      </w:r>
    </w:p>
    <w:p>
      <w:pPr>
        <w:pStyle w:val="ListParagraph"/>
        <w:numPr>
          <w:ilvl w:val="0"/>
          <w:numId w:val="2"/>
        </w:numPr>
        <w:spacing w:after="60" w:line="264"/>
      </w:pPr>
      <w:r>
        <w:rPr>
          <w:rFonts w:ascii="Calibri" w:cs="Calibri" w:eastAsia="Calibri" w:hAnsi="Calibri"/>
          <w:b/>
          <w:bCs/>
          <w:color w:val="222222"/>
          <w:sz w:val="21"/>
          <w:szCs w:val="21"/>
        </w:rPr>
        <w:t xml:space="preserve">Control name:</w:t>
      </w:r>
      <w:r>
        <w:rPr>
          <w:rFonts w:ascii="Calibri" w:cs="Calibri" w:eastAsia="Calibri" w:hAnsi="Calibri"/>
          <w:color w:val="222222"/>
          <w:sz w:val="21"/>
          <w:szCs w:val="21"/>
        </w:rPr>
        <w:t xml:space="preserve"> Assess security and privacy risks before approving third-party AI vendors and services</w:t>
      </w:r>
    </w:p>
    <w:p>
      <w:pPr>
        <w:pStyle w:val="ListParagraph"/>
        <w:numPr>
          <w:ilvl w:val="0"/>
          <w:numId w:val="2"/>
        </w:numPr>
        <w:spacing w:after="60" w:line="264"/>
      </w:pPr>
      <w:r>
        <w:rPr>
          <w:rFonts w:ascii="Calibri" w:cs="Calibri" w:eastAsia="Calibri" w:hAnsi="Calibri"/>
          <w:b/>
          <w:bCs/>
          <w:color w:val="222222"/>
          <w:sz w:val="21"/>
          <w:szCs w:val="21"/>
        </w:rPr>
        <w:t xml:space="preserve">Framework reference:</w:t>
      </w:r>
      <w:r>
        <w:rPr>
          <w:rFonts w:ascii="Calibri" w:cs="Calibri" w:eastAsia="Calibri" w:hAnsi="Calibri"/>
          <w:color w:val="222222"/>
          <w:sz w:val="21"/>
          <w:szCs w:val="21"/>
        </w:rPr>
        <w:t xml:space="preserve"> SOC 2 — CC9.2</w:t>
      </w:r>
    </w:p>
    <w:p>
      <w:pPr>
        <w:pStyle w:val="ListParagraph"/>
        <w:numPr>
          <w:ilvl w:val="0"/>
          <w:numId w:val="2"/>
        </w:numPr>
        <w:spacing w:after="60" w:line="264"/>
      </w:pPr>
      <w:r>
        <w:rPr>
          <w:rFonts w:ascii="Calibri" w:cs="Calibri" w:eastAsia="Calibri" w:hAnsi="Calibri"/>
          <w:b/>
          <w:bCs/>
          <w:color w:val="222222"/>
          <w:sz w:val="21"/>
          <w:szCs w:val="21"/>
        </w:rPr>
        <w:t xml:space="preserve">Register rating:</w:t>
      </w:r>
      <w:r>
        <w:rPr>
          <w:rFonts w:ascii="Calibri" w:cs="Calibri" w:eastAsia="Calibri" w:hAnsi="Calibri"/>
          <w:color w:val="222222"/>
          <w:sz w:val="21"/>
          <w:szCs w:val="21"/>
        </w:rPr>
        <w:t xml:space="preserve"> Ineffective</w:t>
      </w:r>
    </w:p>
    <w:p>
      <w:pPr>
        <w:pStyle w:val="ListParagraph"/>
        <w:numPr>
          <w:ilvl w:val="0"/>
          <w:numId w:val="2"/>
        </w:numPr>
        <w:spacing w:after="60" w:line="264"/>
      </w:pPr>
      <w:r>
        <w:rPr>
          <w:rFonts w:ascii="Calibri" w:cs="Calibri" w:eastAsia="Calibri" w:hAnsi="Calibri"/>
          <w:b/>
          <w:bCs/>
          <w:color w:val="222222"/>
          <w:sz w:val="21"/>
          <w:szCs w:val="21"/>
        </w:rPr>
        <w:t xml:space="preserve">Frequency:</w:t>
      </w:r>
      <w:r>
        <w:rPr>
          <w:rFonts w:ascii="Calibri" w:cs="Calibri" w:eastAsia="Calibri" w:hAnsi="Calibri"/>
          <w:color w:val="222222"/>
          <w:sz w:val="21"/>
          <w:szCs w:val="21"/>
        </w:rPr>
        <w:t xml:space="preserve"> Continuous</w:t>
      </w:r>
    </w:p>
    <w:p>
      <w:pPr>
        <w:pStyle w:val="ListParagraph"/>
        <w:numPr>
          <w:ilvl w:val="0"/>
          <w:numId w:val="2"/>
        </w:numPr>
        <w:spacing w:after="60" w:line="264"/>
      </w:pPr>
      <w:r>
        <w:rPr>
          <w:rFonts w:ascii="Calibri" w:cs="Calibri" w:eastAsia="Calibri" w:hAnsi="Calibri"/>
          <w:b/>
          <w:bCs/>
          <w:color w:val="222222"/>
          <w:sz w:val="21"/>
          <w:szCs w:val="21"/>
        </w:rPr>
        <w:t xml:space="preserve">Control owner:</w:t>
      </w:r>
      <w:r>
        <w:rPr>
          <w:rFonts w:ascii="Calibri" w:cs="Calibri" w:eastAsia="Calibri" w:hAnsi="Calibri"/>
          <w:color w:val="222222"/>
          <w:sz w:val="21"/>
          <w:szCs w:val="21"/>
        </w:rPr>
        <w:t xml:space="preserve"> Third-Party Risk Management Team</w:t>
      </w:r>
    </w:p>
    <w:p>
      <w:pPr>
        <w:pStyle w:val="ListParagraph"/>
        <w:numPr>
          <w:ilvl w:val="0"/>
          <w:numId w:val="2"/>
        </w:numPr>
        <w:spacing w:after="60" w:line="264"/>
      </w:pPr>
      <w:r>
        <w:rPr>
          <w:rFonts w:ascii="Calibri" w:cs="Calibri" w:eastAsia="Calibri" w:hAnsi="Calibri"/>
          <w:b/>
          <w:bCs/>
          <w:color w:val="222222"/>
          <w:sz w:val="21"/>
          <w:szCs w:val="21"/>
        </w:rPr>
        <w:t xml:space="preserve">Control identifier:</w:t>
      </w:r>
      <w:r>
        <w:rPr>
          <w:rFonts w:ascii="Calibri" w:cs="Calibri" w:eastAsia="Calibri" w:hAnsi="Calibri"/>
          <w:color w:val="222222"/>
          <w:sz w:val="21"/>
          <w:szCs w:val="21"/>
        </w:rPr>
        <w:t xml:space="preserve"> assigned as CTL-010 under the project’s normalized ID scheme; the source register did not expose an internal identifier. Description, rationale, and detailed framework references are not exposed in source (null) and were not invented.</w:t>
      </w:r>
    </w:p>
    <w:p>
      <w:pPr>
        <w:keepNext/>
        <w:spacing w:after="80" w:before="160"/>
      </w:pPr>
      <w:r>
        <w:rPr>
          <w:rFonts w:ascii="Calibri" w:cs="Calibri" w:eastAsia="Calibri" w:hAnsi="Calibri"/>
          <w:b/>
          <w:bCs/>
          <w:color w:val="2F5496"/>
          <w:sz w:val="22"/>
          <w:szCs w:val="22"/>
        </w:rPr>
        <w:t xml:space="preserve">Supplemental framework mapping (portfolio-developed)</w:t>
      </w:r>
    </w:p>
    <w:p>
      <w:pPr>
        <w:spacing w:after="80" w:before="0" w:line="264"/>
      </w:pPr>
      <w:r>
        <w:rPr>
          <w:rFonts w:ascii="Calibri" w:cs="Calibri" w:eastAsia="Calibri" w:hAnsi="Calibri"/>
          <w:color w:val="222222"/>
          <w:sz w:val="21"/>
          <w:szCs w:val="21"/>
        </w:rPr>
        <w:t xml:space="preserve">Only SOC 2 CC9.2 is contained in the source register. The related references below are supplied for portfolio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80"/>
        <w:gridCol w:w="1200"/>
        <w:gridCol w:w="12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Reference</w:t>
            </w:r>
          </w:p>
        </w:tc>
        <w:tc>
          <w:tcPr>
            <w:tcW w:type="dxa" w:w="54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Subject (abbreviated)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Origin</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Used in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SOC 2 CC9.2</w:t>
            </w:r>
          </w:p>
        </w:tc>
        <w:tc>
          <w:tcPr>
            <w:tcW w:type="dxa" w:w="5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 and management of risks associated with vendors and business partners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Source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 §13</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NIST CSF 2.0 GV.SC-06</w:t>
            </w:r>
          </w:p>
        </w:tc>
        <w:tc>
          <w:tcPr>
            <w:tcW w:type="dxa" w:w="54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Planning and due diligence are performed to reduce risks before entering into formal supplier relationships</w:t>
            </w:r>
          </w:p>
        </w:tc>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Supplemental</w:t>
            </w:r>
          </w:p>
        </w:tc>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ISO 27001 A.5.19</w:t>
            </w:r>
          </w:p>
        </w:tc>
        <w:tc>
          <w:tcPr>
            <w:tcW w:type="dxa" w:w="5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Information security in supplier relationships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Supplemental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5. Linked Register Risk &amp; Coverage Gap</w:t>
      </w:r>
    </w:p>
    <w:p>
      <w:pPr>
        <w:keepNext/>
        <w:spacing w:after="80" w:before="160"/>
      </w:pPr>
      <w:r>
        <w:rPr>
          <w:rFonts w:ascii="Calibri" w:cs="Calibri" w:eastAsia="Calibri" w:hAnsi="Calibri"/>
          <w:b/>
          <w:bCs/>
          <w:color w:val="2F5496"/>
          <w:sz w:val="22"/>
          <w:szCs w:val="22"/>
        </w:rPr>
        <w:t xml:space="preserve">5.1 Primary register risk</w:t>
      </w:r>
    </w:p>
    <w:p>
      <w:pPr>
        <w:spacing w:after="120" w:before="0" w:line="264"/>
      </w:pPr>
      <w:r>
        <w:rPr>
          <w:rFonts w:ascii="Calibri" w:cs="Calibri" w:eastAsia="Calibri" w:hAnsi="Calibri"/>
          <w:b/>
          <w:bCs/>
          <w:color w:val="222222"/>
          <w:sz w:val="21"/>
          <w:szCs w:val="21"/>
        </w:rPr>
        <w:t xml:space="preserve">None identified.</w:t>
      </w:r>
      <w:r>
        <w:rPr>
          <w:rFonts w:ascii="Calibri" w:cs="Calibri" w:eastAsia="Calibri" w:hAnsi="Calibri"/>
          <w:color w:val="222222"/>
          <w:sz w:val="21"/>
          <w:szCs w:val="21"/>
        </w:rPr>
        <w:t xml:space="preserve"> No risk in the Risk Register concerns vendor onboarding, supplier due diligence, or failure of an external AI service. The control is therefore not mapped to a primary risk. Forcing a mapping to a risk about a different exposure would misstate what the control addresses.</w:t>
      </w:r>
    </w:p>
    <w:p>
      <w:pPr>
        <w:keepNext/>
        <w:spacing w:after="80" w:before="160"/>
      </w:pPr>
      <w:r>
        <w:rPr>
          <w:rFonts w:ascii="Calibri" w:cs="Calibri" w:eastAsia="Calibri" w:hAnsi="Calibri"/>
          <w:b/>
          <w:bCs/>
          <w:color w:val="2F5496"/>
          <w:sz w:val="22"/>
          <w:szCs w:val="22"/>
        </w:rPr>
        <w:t xml:space="preserve">5.2 Related / downstream risks (not primary maps)</w:t>
      </w:r>
    </w:p>
    <w:p>
      <w:pPr>
        <w:spacing w:after="60" w:before="0" w:line="264"/>
      </w:pPr>
      <w:r>
        <w:rPr>
          <w:rFonts w:ascii="Calibri" w:cs="Calibri" w:eastAsia="Calibri" w:hAnsi="Calibri"/>
          <w:color w:val="222222"/>
          <w:sz w:val="21"/>
          <w:szCs w:val="21"/>
        </w:rPr>
        <w:t xml:space="preserve">The data-exposure and access-control risks in the register are examples of consequences to which a third-party failure could potentially contribute:</w:t>
      </w:r>
    </w:p>
    <w:p>
      <w:pPr>
        <w:pStyle w:val="ListParagraph"/>
        <w:numPr>
          <w:ilvl w:val="0"/>
          <w:numId w:val="2"/>
        </w:numPr>
        <w:spacing w:after="60" w:line="264"/>
      </w:pPr>
      <w:r>
        <w:rPr>
          <w:rFonts w:ascii="Calibri" w:cs="Calibri" w:eastAsia="Calibri" w:hAnsi="Calibri"/>
          <w:color w:val="222222"/>
          <w:sz w:val="21"/>
          <w:szCs w:val="21"/>
        </w:rPr>
        <w:t xml:space="preserve">Unauthorized user exploits inadequate data access restrictions causing sensitive data exposure to Financial Risk Training Data Repository (Data Protection; 3 × 4; Open; Data Science Team).</w:t>
      </w:r>
    </w:p>
    <w:p>
      <w:pPr>
        <w:pStyle w:val="ListParagraph"/>
        <w:numPr>
          <w:ilvl w:val="0"/>
          <w:numId w:val="2"/>
        </w:numPr>
        <w:spacing w:after="60" w:line="264"/>
      </w:pPr>
      <w:r>
        <w:rPr>
          <w:rFonts w:ascii="Calibri" w:cs="Calibri" w:eastAsia="Calibri" w:hAnsi="Calibri"/>
          <w:color w:val="222222"/>
          <w:sz w:val="21"/>
          <w:szCs w:val="21"/>
        </w:rPr>
        <w:t xml:space="preserve">Unauthorized user exploits inadequate backup access controls causing sensitive data exposure to Clinical AI Backup Repository (Data Protection; 2 × 4; Open; Data Protection Team).</w:t>
      </w:r>
    </w:p>
    <w:p>
      <w:pPr>
        <w:spacing w:after="120" w:before="80" w:line="264"/>
      </w:pPr>
      <w:r>
        <w:rPr>
          <w:rFonts w:ascii="Calibri" w:cs="Calibri" w:eastAsia="Calibri" w:hAnsi="Calibri"/>
          <w:b/>
          <w:bCs/>
          <w:color w:val="222222"/>
          <w:sz w:val="21"/>
          <w:szCs w:val="21"/>
        </w:rPr>
        <w:t xml:space="preserve">Limitation:</w:t>
      </w:r>
      <w:r>
        <w:rPr>
          <w:rFonts w:ascii="Calibri" w:cs="Calibri" w:eastAsia="Calibri" w:hAnsi="Calibri"/>
          <w:color w:val="222222"/>
          <w:sz w:val="21"/>
          <w:szCs w:val="21"/>
        </w:rPr>
        <w:t xml:space="preserve"> the source records do not establish a vendor relationship or any causal linkage between third-party vendors and these risks. They are listed for context only. The source records for these risks have no identifiers and are referenced by title.</w:t>
      </w:r>
    </w:p>
    <w:p>
      <w:pPr>
        <w:keepNext/>
        <w:spacing w:after="80" w:before="160"/>
      </w:pPr>
      <w:r>
        <w:rPr>
          <w:rFonts w:ascii="Calibri" w:cs="Calibri" w:eastAsia="Calibri" w:hAnsi="Calibri"/>
          <w:b/>
          <w:bCs/>
          <w:color w:val="2F5496"/>
          <w:sz w:val="22"/>
          <w:szCs w:val="22"/>
        </w:rPr>
        <w:t xml:space="preserve">5.3 Risk coverage gap</w:t>
      </w:r>
    </w:p>
    <w:p>
      <w:pPr>
        <w:spacing w:after="120" w:before="0" w:line="264"/>
      </w:pPr>
      <w:r>
        <w:rPr>
          <w:rFonts w:ascii="Calibri" w:cs="Calibri" w:eastAsia="Calibri" w:hAnsi="Calibri"/>
          <w:color w:val="222222"/>
          <w:sz w:val="21"/>
          <w:szCs w:val="21"/>
        </w:rPr>
        <w:t xml:space="preserve">The Risk Register does not contain a risk specifically addressing failure to identify, assess, approve, or monitor security and privacy risks associated with third-party AI vendors and services.</w:t>
      </w:r>
    </w:p>
    <w:p>
      <w:pPr>
        <w:spacing w:after="120" w:before="0" w:line="264"/>
      </w:pPr>
      <w:r>
        <w:rPr>
          <w:rFonts w:ascii="Calibri" w:cs="Calibri" w:eastAsia="Calibri" w:hAnsi="Calibri"/>
          <w:b/>
          <w:bCs/>
          <w:color w:val="222222"/>
          <w:sz w:val="21"/>
          <w:szCs w:val="21"/>
        </w:rPr>
        <w:t xml:space="preserve">Recommendation:</w:t>
      </w:r>
      <w:r>
        <w:rPr>
          <w:rFonts w:ascii="Calibri" w:cs="Calibri" w:eastAsia="Calibri" w:hAnsi="Calibri"/>
          <w:color w:val="222222"/>
          <w:sz w:val="21"/>
          <w:szCs w:val="21"/>
        </w:rPr>
        <w:t xml:space="preserve"> Establish a dedicated third-party risk owned by the Third-Party Risk Management Team and link CTL-010 as a mitigating control. No identifier is assigned to this proposed risk because it is not in the register. This item is carried to the consolidated GRC Findings &amp; Remediation Tracker.</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6. Risk Appetite &amp; KRI Context</w:t>
      </w:r>
    </w:p>
    <w:p>
      <w:pPr>
        <w:keepNext/>
        <w:spacing w:after="80" w:before="160"/>
      </w:pPr>
      <w:r>
        <w:rPr>
          <w:rFonts w:ascii="Calibri" w:cs="Calibri" w:eastAsia="Calibri" w:hAnsi="Calibri"/>
          <w:b/>
          <w:bCs/>
          <w:color w:val="2F5496"/>
          <w:sz w:val="22"/>
          <w:szCs w:val="22"/>
        </w:rPr>
        <w:t xml:space="preserve">6.1 Risk appetite</w:t>
      </w:r>
    </w:p>
    <w:p>
      <w:pPr>
        <w:spacing w:after="120" w:before="0" w:line="264"/>
      </w:pPr>
      <w:r>
        <w:rPr>
          <w:rFonts w:ascii="Calibri" w:cs="Calibri" w:eastAsia="Calibri" w:hAnsi="Calibri"/>
          <w:color w:val="222222"/>
          <w:sz w:val="21"/>
          <w:szCs w:val="21"/>
        </w:rPr>
        <w:t xml:space="preserve">RAS-006 establishes a Moderate appetite for third-party risk (tolerance 10 of 25) and expects critical vendors to undergo due diligence, security review, and ongoing monitoring. It provides direct appetite context for this control. The register contains no third-party risk and therefore no residual score, so </w:t>
      </w:r>
      <w:r>
        <w:rPr>
          <w:rFonts w:ascii="Calibri" w:cs="Calibri" w:eastAsia="Calibri" w:hAnsi="Calibri"/>
          <w:b/>
          <w:bCs/>
          <w:color w:val="222222"/>
          <w:sz w:val="21"/>
          <w:szCs w:val="21"/>
        </w:rPr>
        <w:t xml:space="preserve">no statement is made about whether third-party risk is inside or outside the 10 of 25 tolerance.</w:t>
      </w:r>
    </w:p>
    <w:p>
      <w:pPr>
        <w:keepNext/>
        <w:spacing w:after="80" w:before="160"/>
      </w:pPr>
      <w:r>
        <w:rPr>
          <w:rFonts w:ascii="Calibri" w:cs="Calibri" w:eastAsia="Calibri" w:hAnsi="Calibri"/>
          <w:b/>
          <w:bCs/>
          <w:color w:val="2F5496"/>
          <w:sz w:val="22"/>
          <w:szCs w:val="22"/>
        </w:rPr>
        <w:t xml:space="preserve">6.2 KRI context and limitation</w:t>
      </w:r>
    </w:p>
    <w:p>
      <w:pPr>
        <w:spacing w:after="120" w:before="0" w:line="264"/>
      </w:pPr>
      <w:r>
        <w:rPr>
          <w:rFonts w:ascii="Calibri" w:cs="Calibri" w:eastAsia="Calibri" w:hAnsi="Calibri"/>
          <w:color w:val="222222"/>
          <w:sz w:val="21"/>
          <w:szCs w:val="21"/>
        </w:rPr>
        <w:t xml:space="preserve">KRI-006 (Critical Vendors with Overdue Risk Assessments; Leading; owner: Third-Party Risk Management Team; monthly) reports a current value of 3 against an amber threshold of 4 and a red threshold of 6, with a decreasing trend. This indicator provides useful context regarding overdue assessments for critical vendors already represented within the third-party risk process. It does not directly evidence whether security and privacy assessments are consistently completed before approval, which is the objective of CTL-010. Accordingly, the KRI’s current position does not override the control assessment results.</w:t>
      </w:r>
    </w:p>
    <w:p>
      <w:pPr>
        <w:spacing w:after="120" w:before="0" w:line="264"/>
      </w:pPr>
      <w:r>
        <w:rPr>
          <w:rFonts w:ascii="Calibri" w:cs="Calibri" w:eastAsia="Calibri" w:hAnsi="Calibri"/>
          <w:color w:val="222222"/>
          <w:sz w:val="21"/>
          <w:szCs w:val="21"/>
        </w:rPr>
        <w:t xml:space="preserve">A favorable KRI reading is not evidence that a control is operating. KRI-006 counts overdue reassessments of vendors already on record and does not measure whether new vendors were assessed before approval.</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7. Methodology (Simulated Assessment Procedure)</w:t>
      </w:r>
    </w:p>
    <w:p>
      <w:pPr>
        <w:spacing w:after="80" w:before="0" w:line="264"/>
      </w:pPr>
      <w:r>
        <w:rPr>
          <w:rFonts w:ascii="Calibri" w:cs="Calibri" w:eastAsia="Calibri" w:hAnsi="Calibri"/>
          <w:color w:val="222222"/>
          <w:sz w:val="21"/>
          <w:szCs w:val="21"/>
        </w:rPr>
        <w:t xml:space="preserve">The following procedure describes how the control would be assessed in a live engagement. Steps marked “evidence required” depend on artifacts listed in Section 15.</w:t>
      </w:r>
    </w:p>
    <w:p>
      <w:pPr>
        <w:spacing w:after="80" w:before="0" w:line="264"/>
      </w:pPr>
      <w:r>
        <w:rPr>
          <w:rFonts w:ascii="Calibri" w:cs="Calibri" w:eastAsia="Calibri" w:hAnsi="Calibri"/>
          <w:b/>
          <w:bCs/>
          <w:color w:val="222222"/>
          <w:sz w:val="21"/>
          <w:szCs w:val="21"/>
        </w:rPr>
        <w:t xml:space="preserve">1.</w:t>
      </w:r>
      <w:r>
        <w:rPr>
          <w:rFonts w:ascii="Calibri" w:cs="Calibri" w:eastAsia="Calibri" w:hAnsi="Calibri"/>
          <w:color w:val="222222"/>
          <w:sz w:val="21"/>
          <w:szCs w:val="21"/>
        </w:rPr>
        <w:t xml:space="preserve"> Establish the population of third-party AI vendors and services submitted for approval in the period from an authoritative inventory or approval log. (Evidence required.)</w:t>
      </w:r>
    </w:p>
    <w:p>
      <w:pPr>
        <w:spacing w:after="80" w:before="0" w:line="264"/>
      </w:pPr>
      <w:r>
        <w:rPr>
          <w:rFonts w:ascii="Calibri" w:cs="Calibri" w:eastAsia="Calibri" w:hAnsi="Calibri"/>
          <w:b/>
          <w:bCs/>
          <w:color w:val="222222"/>
          <w:sz w:val="21"/>
          <w:szCs w:val="21"/>
        </w:rPr>
        <w:t xml:space="preserve">2.</w:t>
      </w:r>
      <w:r>
        <w:rPr>
          <w:rFonts w:ascii="Calibri" w:cs="Calibri" w:eastAsia="Calibri" w:hAnsi="Calibri"/>
          <w:color w:val="222222"/>
          <w:sz w:val="21"/>
          <w:szCs w:val="21"/>
        </w:rPr>
        <w:t xml:space="preserve"> Inspect the third-party risk policy or procedure, the vendor risk-tiering methodology, and the security and privacy assessment criteria for design adequacy. (Evidence required.)</w:t>
      </w:r>
    </w:p>
    <w:p>
      <w:pPr>
        <w:spacing w:after="80" w:before="0" w:line="264"/>
      </w:pPr>
      <w:r>
        <w:rPr>
          <w:rFonts w:ascii="Calibri" w:cs="Calibri" w:eastAsia="Calibri" w:hAnsi="Calibri"/>
          <w:b/>
          <w:bCs/>
          <w:color w:val="222222"/>
          <w:sz w:val="21"/>
          <w:szCs w:val="21"/>
        </w:rPr>
        <w:t xml:space="preserve">3.</w:t>
      </w:r>
      <w:r>
        <w:rPr>
          <w:rFonts w:ascii="Calibri" w:cs="Calibri" w:eastAsia="Calibri" w:hAnsi="Calibri"/>
          <w:color w:val="222222"/>
          <w:sz w:val="21"/>
          <w:szCs w:val="21"/>
        </w:rPr>
        <w:t xml:space="preserve"> For the population, or a sample if the population is large, inspect the pre-approval security and privacy assessment and confirm it was completed and documented before the approval decision. (Evidence required.)</w:t>
      </w:r>
    </w:p>
    <w:p>
      <w:pPr>
        <w:spacing w:after="80" w:before="0" w:line="264"/>
      </w:pPr>
      <w:r>
        <w:rPr>
          <w:rFonts w:ascii="Calibri" w:cs="Calibri" w:eastAsia="Calibri" w:hAnsi="Calibri"/>
          <w:b/>
          <w:bCs/>
          <w:color w:val="222222"/>
          <w:sz w:val="21"/>
          <w:szCs w:val="21"/>
        </w:rPr>
        <w:t xml:space="preserve">4.</w:t>
      </w:r>
      <w:r>
        <w:rPr>
          <w:rFonts w:ascii="Calibri" w:cs="Calibri" w:eastAsia="Calibri" w:hAnsi="Calibri"/>
          <w:color w:val="222222"/>
          <w:sz w:val="21"/>
          <w:szCs w:val="21"/>
        </w:rPr>
        <w:t xml:space="preserve"> Confirm that identified vendor risks were remediated, or formally accepted, before or at approval. (Evidence required.)</w:t>
      </w:r>
    </w:p>
    <w:p>
      <w:pPr>
        <w:spacing w:after="80" w:before="0" w:line="264"/>
      </w:pPr>
      <w:r>
        <w:rPr>
          <w:rFonts w:ascii="Calibri" w:cs="Calibri" w:eastAsia="Calibri" w:hAnsi="Calibri"/>
          <w:b/>
          <w:bCs/>
          <w:color w:val="222222"/>
          <w:sz w:val="21"/>
          <w:szCs w:val="21"/>
        </w:rPr>
        <w:t xml:space="preserve">5.</w:t>
      </w:r>
      <w:r>
        <w:rPr>
          <w:rFonts w:ascii="Calibri" w:cs="Calibri" w:eastAsia="Calibri" w:hAnsi="Calibri"/>
          <w:color w:val="222222"/>
          <w:sz w:val="21"/>
          <w:szCs w:val="21"/>
        </w:rPr>
        <w:t xml:space="preserve"> Evaluate ongoing monitoring and reassessment, and reconcile KRI-006 to its source data. (Evidence required.)</w:t>
      </w:r>
    </w:p>
    <w:p>
      <w:pPr>
        <w:spacing w:after="80" w:before="0" w:line="264"/>
      </w:pPr>
      <w:r>
        <w:rPr>
          <w:rFonts w:ascii="Calibri" w:cs="Calibri" w:eastAsia="Calibri" w:hAnsi="Calibri"/>
          <w:b/>
          <w:bCs/>
          <w:color w:val="222222"/>
          <w:sz w:val="21"/>
          <w:szCs w:val="21"/>
        </w:rPr>
        <w:t xml:space="preserve">6.</w:t>
      </w:r>
      <w:r>
        <w:rPr>
          <w:rFonts w:ascii="Calibri" w:cs="Calibri" w:eastAsia="Calibri" w:hAnsi="Calibri"/>
          <w:color w:val="222222"/>
          <w:sz w:val="21"/>
          <w:szCs w:val="21"/>
        </w:rPr>
        <w:t xml:space="preserve"> Disposition each deficiency with an owner, recommendation, and target date, and determine design effectiveness, operating effectiveness, and the overall conclusion.</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8. Roles &amp; Responsibilities</w:t>
      </w:r>
    </w:p>
    <w:p>
      <w:pPr>
        <w:spacing w:after="80" w:before="0" w:line="264"/>
      </w:pPr>
      <w:r>
        <w:rPr>
          <w:rFonts w:ascii="Calibri" w:cs="Calibri" w:eastAsia="Calibri" w:hAnsi="Calibri"/>
          <w:color w:val="222222"/>
          <w:sz w:val="21"/>
          <w:szCs w:val="21"/>
        </w:rPr>
        <w:t xml:space="preserve">The following RACI is portfolio-developed. Team names are drawn from the source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600"/>
        <w:gridCol w:w="1680"/>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Activity</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Third-Party Risk Mgmt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Requesting Business / AI Team</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GRC Team</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Privacy &amp; Compliance</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Maintain vendor / service inventory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 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Define tiering and assessment criteria</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 R</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Perform pre-approval security assessment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 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Perform pre-approval privacy assessment</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 R</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Approve or reject vendor / service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Independent assessment and reporting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 R</w:t>
            </w:r>
          </w:p>
        </w:tc>
        <w:tc>
          <w:tcPr>
            <w:tcW w:type="dxa" w:w="1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bl>
    <w:p>
      <w:pPr>
        <w:spacing w:after="120" w:before="80" w:line="264"/>
      </w:pPr>
      <w:r>
        <w:rPr>
          <w:rFonts w:ascii="Calibri" w:cs="Calibri" w:eastAsia="Calibri" w:hAnsi="Calibri"/>
          <w:i/>
          <w:iCs/>
          <w:color w:val="222222"/>
          <w:sz w:val="18"/>
          <w:szCs w:val="18"/>
        </w:rPr>
        <w:t xml:space="preserve">R = Responsible, A = Accountable, C = Consulted, I = Informed. Roles are illustrative for the simulated scenario.</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9. Control Attributes &amp; Simulated Assessment Results</w:t>
      </w:r>
    </w:p>
    <w:p>
      <w:pPr>
        <w:spacing w:after="80" w:before="0" w:line="264"/>
      </w:pPr>
      <w:r>
        <w:rPr>
          <w:rFonts w:ascii="Calibri" w:cs="Calibri" w:eastAsia="Calibri" w:hAnsi="Calibri"/>
          <w:color w:val="222222"/>
          <w:sz w:val="21"/>
          <w:szCs w:val="21"/>
        </w:rPr>
        <w:t xml:space="preserve">Results are qualitative scenario conditions. No counts, vendor names, or approval records are stated. “Met (Source)” means the attribute is established by the source records. “Gap (Simulated)” means the simulated scenario indicates a deficiency, carried to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150"/>
        <w:gridCol w:w="4530"/>
        <w:gridCol w:w="29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w:t>
            </w:r>
          </w:p>
        </w:tc>
        <w:tc>
          <w:tcPr>
            <w:tcW w:type="dxa" w:w="2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Control Attribute</w:t>
            </w:r>
          </w:p>
        </w:tc>
        <w:tc>
          <w:tcPr>
            <w:tcW w:type="dxa" w:w="45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Test Objective / Expected State</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Result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1</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Control ownership</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 named team is accountable for the control.</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Met (Source) — owner is the Third-Party Risk Management Team</w:t>
            </w: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2</w:t>
            </w:r>
          </w:p>
        </w:tc>
        <w:tc>
          <w:tcPr>
            <w:tcW w:type="dxa" w:w="21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Population / inventory</w:t>
            </w:r>
          </w:p>
        </w:tc>
        <w:tc>
          <w:tcPr>
            <w:tcW w:type="dxa" w:w="453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An authoritative inventory of third-party AI vendors and services establishes the population subject to the control.</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VRA-03</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3</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Governance documentation</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 documented third-party AI risk policy or procedure defines requirements for assessment before approval.</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VRA-03</w:t>
            </w: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4</w:t>
            </w:r>
          </w:p>
        </w:tc>
        <w:tc>
          <w:tcPr>
            <w:tcW w:type="dxa" w:w="21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Risk tiering</w:t>
            </w:r>
          </w:p>
        </w:tc>
        <w:tc>
          <w:tcPr>
            <w:tcW w:type="dxa" w:w="453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Vendors and services are tiered (for example, critical versus non-critical) to set assessment depth.</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VRA-02</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5</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 criteria</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Defined security and privacy criteria are applied to AI vendors and services.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VRA-02</w:t>
            </w: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w:t>
            </w:r>
          </w:p>
        </w:tc>
        <w:tc>
          <w:tcPr>
            <w:tcW w:type="dxa" w:w="21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 completed and documented</w:t>
            </w:r>
          </w:p>
        </w:tc>
        <w:tc>
          <w:tcPr>
            <w:tcW w:type="dxa" w:w="453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 security and privacy risk assessment is completed and documented for each vendor or service submitted for approval.</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VRA-01</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7</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 precedes approval</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The assessment is completed before the approval decision.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VRA-01</w:t>
            </w: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8</w:t>
            </w:r>
          </w:p>
        </w:tc>
        <w:tc>
          <w:tcPr>
            <w:tcW w:type="dxa" w:w="21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Risk disposition at approval</w:t>
            </w:r>
          </w:p>
        </w:tc>
        <w:tc>
          <w:tcPr>
            <w:tcW w:type="dxa" w:w="453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Identified vendor risks are remediated or formally accepted at approval.</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(Simulated) — VRA-01</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Ongoing monitoring</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Approved vendors and services are monitored and reassessed over time.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Gap — Observation (Simulated) — VRA-04</w:t>
            </w: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10</w:t>
            </w:r>
          </w:p>
        </w:tc>
        <w:tc>
          <w:tcPr>
            <w:tcW w:type="dxa" w:w="21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Risk reporting</w:t>
            </w:r>
          </w:p>
        </w:tc>
        <w:tc>
          <w:tcPr>
            <w:tcW w:type="dxa" w:w="453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 KRI reports on third-party assessment status.</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Met (Source) — KRI-006 defined with thresholds, frequency, and owner; limitation in §6.2</w:t>
            </w:r>
          </w:p>
        </w:tc>
      </w:tr>
    </w:tbl>
    <w:p>
      <w:pPr>
        <w:spacing w:after="120" w:before="80" w:line="264"/>
      </w:pPr>
      <w:r>
        <w:rPr>
          <w:rFonts w:ascii="Calibri" w:cs="Calibri" w:eastAsia="Calibri" w:hAnsi="Calibri"/>
          <w:i/>
          <w:iCs/>
          <w:color w:val="222222"/>
          <w:sz w:val="18"/>
          <w:szCs w:val="18"/>
        </w:rPr>
        <w:t xml:space="preserve">Attributes and simulated results are portfolio-developed. Supporting evidence for each attribute is listed in Section 15 as Evidence Required — Not Provided.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10. Assessment Summary (Simulated)</w:t>
      </w:r>
    </w:p>
    <w:p>
      <w:pPr>
        <w:spacing w:after="120" w:before="0" w:line="264"/>
      </w:pPr>
      <w:r>
        <w:rPr>
          <w:rFonts w:ascii="Calibri" w:cs="Calibri" w:eastAsia="Calibri" w:hAnsi="Calibri"/>
          <w:color w:val="222222"/>
          <w:sz w:val="21"/>
          <w:szCs w:val="21"/>
        </w:rPr>
        <w:t xml:space="preserve">The simulated scenario indicates that the control does not reliably perform its central preventive function. Third-party AI vendors and services can proceed to approval without a completed and documented security and privacy risk assessment (VRA-01). The supporting design is also insufficient: assessment criteria and vendor tiering are not defined (VRA-02), and third-party governance documentation and an authoritative inventory are not available in the source records (VRA-03). Only control ownership and KRI reporting are established by the source (attributes 1 and 10), and neither demonstrates that assessments occur before approval.</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11.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1300"/>
        <w:gridCol w:w="1500"/>
        <w:gridCol w:w="16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Ref</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Issue / Type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Attribute Area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Severity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Rating Impact</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VRA-01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Pre-Approval Assessment Not Consistently Performed and Documented (Finding)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Operating — attributes 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High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Primary Ineffective driver</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Open (Sim.)</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VRA-02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Vendor Risk Assessment Criteria and Tiering Not Defined (Finding)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Design — attributes 4–5</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Medium</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Contributing deficiency</w:t>
            </w:r>
          </w:p>
        </w:tc>
        <w:tc>
          <w:tcPr>
            <w:tcW w:type="dxa" w:w="1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Open (Sim.)</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VRA-03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Third-Party Governance Documentation and Inventory Gap (Finding)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Design / governance — attributes 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Medium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Contributing design / governance deficiency</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Open (Sim.)</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VRA-04</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Ongoing Third-Party Monitoring Maturity (Observation)</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Monitoring — attribute 9</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Low (Observation)</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Improvement opportunity</w:t>
            </w:r>
          </w:p>
        </w:tc>
        <w:tc>
          <w:tcPr>
            <w:tcW w:type="dxa" w:w="1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Open (Sim.)</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12. Detailed Findings</w:t>
      </w:r>
    </w:p>
    <w:p>
      <w:pPr>
        <w:keepNext/>
        <w:spacing w:after="60" w:before="160" w:line="264"/>
      </w:pPr>
      <w:r>
        <w:rPr>
          <w:rFonts w:ascii="Calibri" w:cs="Calibri" w:eastAsia="Calibri" w:hAnsi="Calibri"/>
          <w:b/>
          <w:bCs/>
          <w:color w:val="222222"/>
          <w:sz w:val="21"/>
          <w:szCs w:val="21"/>
        </w:rPr>
        <w:t xml:space="preserve">VRA-01 — Pre-Approval Assessment Not Consistently Performed and Documented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Type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Control deficiency (Finding) — operating; failure of the control’s central preventive function.</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Condition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The simulated scenario indicates that third-party AI vendors and services subject to approval during the assessment period can proceed to approval without a completed and documented security and privacy risk assessment, or with the assessment completed after the approval decision.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Risk / Impact</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AI services could be approved without their security and privacy risks being identified, treated, or accepted. If such a service were to process or access sensitive data, unassessed exposure could result. The source does not establish that any vendor currently accesses register assets.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Severity</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High.</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Recommendation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Establish a mandatory pre-approval gate under which no vendor or service is approved or onboarded without a completed, documented security and privacy assessment and recorded sign-off. Assess retrospectively any approved vendors and services that lack an assessment, starting with those handling sensitive data.</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Owner</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Risk Management Team, with Privacy and Compliance Team support.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Remediation 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Open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Target Remediation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November 30, 2026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Validation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Re-perform against the approval population for the next assessment period and confirm every approval is preceded by a completed assessment.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 on Rating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Primary driver of the Ineffective conclusion.</w:t>
            </w:r>
          </w:p>
        </w:tc>
      </w:tr>
    </w:tbl>
    <w:p>
      <w:pPr>
        <w:keepNext/>
        <w:spacing w:after="60" w:before="160" w:line="264"/>
      </w:pPr>
      <w:r>
        <w:rPr>
          <w:rFonts w:ascii="Calibri" w:cs="Calibri" w:eastAsia="Calibri" w:hAnsi="Calibri"/>
          <w:b/>
          <w:bCs/>
          <w:color w:val="222222"/>
          <w:sz w:val="21"/>
          <w:szCs w:val="21"/>
        </w:rPr>
        <w:t xml:space="preserve">VRA-02 — Vendor Risk Assessment Criteria and Tiering Not Defined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Type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Control deficiency (Finding) — design.</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Condition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The simulated scenario indicates that no defined vendor risk-tiering methodology or consistent security and privacy assessment criteria for AI vendors and services are in place, so assessment depth is not set by vendor criticality or data sensitivity.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Risk / Impact</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Without defined criteria and tiering, assessments cannot be performed consistently, and higher-risk AI services may receive the same level of review as lower-risk ones.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Severity</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Medium.</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Recommendation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Define a vendor tiering methodology and minimum security and privacy assessment criteria for AI services (for example, data handling, model and data-use terms, incident notification, and sub-processor use), with assessment depth tied to tier.</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Owner</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Risk Management Team, with Privacy and Compliance Team and Information Security Team consulted.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Remediation 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Open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Target Remediation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December 31, 2026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Validation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Confirm the approved methodology and criteria are applied to new approval requests at the next assessment.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 on Rating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Contributing deficiency.</w:t>
            </w:r>
          </w:p>
        </w:tc>
      </w:tr>
    </w:tbl>
    <w:p>
      <w:pPr>
        <w:keepNext/>
        <w:spacing w:after="60" w:before="160" w:line="264"/>
      </w:pPr>
      <w:r>
        <w:rPr>
          <w:rFonts w:ascii="Calibri" w:cs="Calibri" w:eastAsia="Calibri" w:hAnsi="Calibri"/>
          <w:b/>
          <w:bCs/>
          <w:color w:val="222222"/>
          <w:sz w:val="21"/>
          <w:szCs w:val="21"/>
        </w:rPr>
        <w:t xml:space="preserve">VRA-03 — Third-Party Governance Documentation and Inventory Gap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Type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Control deficiency (Finding) — design / governance.</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Condition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The simulated scenario indicates that third-party AI governance is not supported by a documented third-party risk policy within the available Policy Register, and the available source records do not provide a vendor/service inventory from which the population subject to CTL-010 can be established.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Risk / Impact</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Without documented governance requirements and an authoritative inventory, the population subject to assessment cannot be established, and completeness of pre-approval assessment cannot be demonstrated. This finding does not assert that no inventory exists elsewhere; only that none is available in the source records.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Severity</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Medium.</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Recommendation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Establish documented third-party AI risk governance requirements and maintain an authoritative inventory of third-party AI vendors and services subject to security and privacy assessment.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Owner</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Risk Management Team, with GRC Team support for policy governance.</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Remediation 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Open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Target Remediation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December 31, 2026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Validation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Confirm an approved policy and an inventory reconciled to the approval population.</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 on Rating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Contributing design / governance deficiency.</w:t>
            </w:r>
          </w:p>
        </w:tc>
      </w:tr>
    </w:tbl>
    <w:p>
      <w:pPr>
        <w:keepNext/>
        <w:spacing w:after="60" w:before="160" w:line="264"/>
      </w:pPr>
      <w:r>
        <w:rPr>
          <w:rFonts w:ascii="Calibri" w:cs="Calibri" w:eastAsia="Calibri" w:hAnsi="Calibri"/>
          <w:b/>
          <w:bCs/>
          <w:color w:val="222222"/>
          <w:sz w:val="21"/>
          <w:szCs w:val="21"/>
        </w:rPr>
        <w:t xml:space="preserve">VRA-04 — Ongoing Third-Party Monitoring Maturity (Observation)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Type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Process-improvement observation — not a control exception.</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Condition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The simulated scenario indicates that monitoring and reassessment of vendors and services after approval are not clearly defined beyond KRI-006 reporting.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Risk / Impact</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Low. The control’s stated objective concerns assessment before approval; RAS-006 nonetheless expects ongoing monitoring of critical vendors.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Severity</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Low (Observation).</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Recommendation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Define reassessment triggers and frequency by vendor tier and link them to KRI-006 reporting.</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Owner</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Third-Party Risk Management Team.</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Remediation 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Open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Target Remediation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Q1 2027 (Simulated).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Validation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Confirm defined reassessment triggers at a subsequent assessment.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 on Rating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None independently.</w:t>
            </w:r>
          </w:p>
        </w:tc>
      </w:tr>
    </w:tbl>
    <w:p>
      <w:pPr>
        <w:spacing w:after="120" w:before="120" w:line="264"/>
      </w:pPr>
      <w:r>
        <w:rPr>
          <w:rFonts w:ascii="Calibri" w:cs="Calibri" w:eastAsia="Calibri" w:hAnsi="Calibri"/>
          <w:b/>
          <w:bCs/>
          <w:color w:val="222222"/>
          <w:sz w:val="21"/>
          <w:szCs w:val="21"/>
        </w:rPr>
        <w:t xml:space="preserve">Note: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No actual vendor assessment or testing was performed. Findings, severities, statuses, and target dates are simulated planning values representing the scenario state.</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13. Effectiveness Determination</w:t>
      </w:r>
    </w:p>
    <w:p>
      <w:pPr>
        <w:spacing w:after="80" w:before="0" w:line="264"/>
      </w:pPr>
      <w:r>
        <w:rPr>
          <w:rFonts w:ascii="Calibri" w:cs="Calibri" w:eastAsia="Calibri" w:hAnsi="Calibri"/>
          <w:color w:val="222222"/>
          <w:sz w:val="21"/>
          <w:szCs w:val="21"/>
        </w:rPr>
        <w:t xml:space="preserve">The rating is derived from the design of the control and its operation during the simulated assessment period.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rPr>
        <w:tc>
          <w:tcPr>
            <w:tcW w:type="dxa" w:w="23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Design</w:t>
            </w:r>
          </w:p>
        </w:tc>
        <w:tc>
          <w:tcPr>
            <w:tcW w:type="dxa" w:w="7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Ineffective.</w:t>
            </w:r>
            <w:r>
              <w:rPr>
                <w:rFonts w:ascii="Calibri" w:cs="Calibri" w:eastAsia="Calibri" w:hAnsi="Calibri"/>
                <w:b w:val="false"/>
                <w:bCs w:val="false"/>
                <w:color w:val="222222"/>
                <w:sz w:val="18"/>
                <w:szCs w:val="18"/>
              </w:rPr>
              <w:t xml:space="preserve"> Defined assessment criteria and tiering (VRA-02) and supporting third-party governance (VRA-03) are insufficient to establish a consistently designed pre-approval process.</w:t>
            </w:r>
          </w:p>
        </w:tc>
      </w:tr>
      <w:tr>
        <w:trPr>
          <w:cantSplit/>
        </w:trPr>
        <w:tc>
          <w:tcPr>
            <w:tcW w:type="dxa" w:w="23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Operating</w:t>
            </w:r>
          </w:p>
        </w:tc>
        <w:tc>
          <w:tcPr>
            <w:tcW w:type="dxa" w:w="77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Ineffective.</w:t>
            </w:r>
            <w:r>
              <w:rPr>
                <w:rFonts w:ascii="Calibri" w:cs="Calibri" w:eastAsia="Calibri" w:hAnsi="Calibri"/>
                <w:b w:val="false"/>
                <w:bCs w:val="false"/>
                <w:color w:val="222222"/>
                <w:sz w:val="18"/>
                <w:szCs w:val="18"/>
              </w:rPr>
              <w:t xml:space="preserve"> The scenario indicates that required security and privacy assessments are not consistently completed and documented before vendor or service approval (VRA-01).</w:t>
            </w:r>
          </w:p>
        </w:tc>
      </w:tr>
      <w:tr>
        <w:trPr>
          <w:cantSplit/>
        </w:trPr>
        <w:tc>
          <w:tcPr>
            <w:tcW w:type="dxa" w:w="23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Overall conclusion</w:t>
            </w:r>
          </w:p>
        </w:tc>
        <w:tc>
          <w:tcPr>
            <w:tcW w:type="dxa" w:w="7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Ineffective for the Q3 2026 assessment period.</w:t>
            </w:r>
          </w:p>
        </w:tc>
      </w:tr>
    </w:tbl>
    <w:p>
      <w:pPr>
        <w:spacing w:after="120" w:before="120" w:line="264"/>
      </w:pPr>
      <w:r>
        <w:rPr>
          <w:rFonts w:ascii="Calibri" w:cs="Calibri" w:eastAsia="Calibri" w:hAnsi="Calibri"/>
          <w:b/>
          <w:bCs/>
          <w:color w:val="222222"/>
          <w:sz w:val="21"/>
          <w:szCs w:val="21"/>
        </w:rPr>
        <w:t xml:space="preserve">Rating distinction.</w:t>
      </w:r>
      <w:r>
        <w:rPr>
          <w:rFonts w:ascii="Calibri" w:cs="Calibri" w:eastAsia="Calibri" w:hAnsi="Calibri"/>
          <w:color w:val="222222"/>
          <w:sz w:val="21"/>
          <w:szCs w:val="21"/>
        </w:rPr>
        <w:t xml:space="preserve"> A Partially Effective control exists and operates, but not consistently. Here, both design and execution have material deficiencies, so the control’s core preventive objective cannot be relied upon. That is the basis for Ineffective rather than Partially Effective.</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14. Conclusion</w:t>
      </w:r>
    </w:p>
    <w:p>
      <w:pPr>
        <w:spacing w:after="120" w:before="0" w:line="264"/>
      </w:pPr>
      <w:r>
        <w:rPr>
          <w:rFonts w:ascii="Calibri" w:cs="Calibri" w:eastAsia="Calibri" w:hAnsi="Calibri"/>
          <w:color w:val="222222"/>
          <w:sz w:val="21"/>
          <w:szCs w:val="21"/>
        </w:rPr>
        <w:t xml:space="preserve">Within this simulated GRC scenario, the results are consistent with the Ineffective rating recorded for CTL-010 in the MindfulAI Labs Control Register. Pre-approval assessment cannot be relied on to occur (VRA-01), and the criteria, tiering, governance documentation, and inventory needed to support it are not established (VRA-02, VRA-03). The current KRI-006 reading does not change this conclusion (Section 6.2). No actual vendor assessment or testing was performed, and the results do not represent an actual environment.</w:t>
      </w:r>
    </w:p>
    <w:p>
      <w:pPr>
        <w:spacing w:after="120" w:before="0" w:line="264"/>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No third-party risk exists in the register, so no residual score is available and no comparison to the RAS-006 tolerance is made. Qualitatively, exposure to unassessed third-party AI services remains until VRA-01 to VRA-03 are remediated. The remediation actions in Section 12 and the coverage gap in Section 5.3 are carried to the consolidated GRC Findings &amp; Remediation Tracker.</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15. Simulated Evidence Requirements — Not Provided</w:t>
      </w:r>
    </w:p>
    <w:p>
      <w:pPr>
        <w:spacing w:after="80" w:before="0" w:line="264"/>
      </w:pPr>
      <w:r>
        <w:rPr>
          <w:rFonts w:ascii="Calibri" w:cs="Calibri" w:eastAsia="Calibri" w:hAnsi="Calibri"/>
          <w:color w:val="222222"/>
          <w:sz w:val="21"/>
          <w:szCs w:val="21"/>
        </w:rPr>
        <w:t xml:space="preserve">In a live engagement, the following evidence would be requested and retained to support the conclusions. For this simulated artifact, no such evidence has been generated, received, or reviewed.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700"/>
        <w:gridCol w:w="438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Evidence Item</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Attr.</w:t>
            </w:r>
          </w:p>
        </w:tc>
        <w:tc>
          <w:tcPr>
            <w:tcW w:type="dxa" w:w="4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Authoritative vendor / service inventory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2</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EV-02</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Third-party risk management policy / procedure</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3</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EV-03</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Vendor risk-tiering methodology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4</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EV-04</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Security and privacy assessment criteria</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5</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EV-05</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Population of third-party AI vendor / service approval requests for the assessment period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2, 6</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EV-06</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Completed pre-approval assessments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6, 7</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EV-07</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Security questionnaires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EV-08</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Privacy / data-processing assessments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EV-09</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Independent assurance reports, where applicable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EV-10</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Contracts and security / privacy terms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6, 8</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EV-11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Approval records demonstrating the assessment occurred before approval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7</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EV-12</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Identified vendor risks and remediation or acceptance records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8</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EV-13</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Ongoing monitoring and reassessment records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EV-14</w:t>
            </w:r>
          </w:p>
        </w:tc>
        <w:tc>
          <w:tcPr>
            <w:tcW w:type="dxa" w:w="4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KRI-006 source data and calculation methodology</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10</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16. Reviewer / Sign-Off — Not Applicable (Portfolio Simulation)</w:t>
      </w:r>
    </w:p>
    <w:p>
      <w:pPr>
        <w:spacing w:after="80" w:before="0" w:line="264"/>
      </w:pPr>
      <w:r>
        <w:rPr>
          <w:rFonts w:ascii="Calibri" w:cs="Calibri" w:eastAsia="Calibri" w:hAnsi="Calibri"/>
          <w:i/>
          <w:iCs/>
          <w:color w:val="222222"/>
          <w:sz w:val="21"/>
          <w:szCs w:val="21"/>
        </w:rPr>
        <w:t xml:space="preserve">Sign-off is not applicable for this portfolio simulation. The blank table below illustrates the review and approval fields the real artifact would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00"/>
        <w:gridCol w:w="2200"/>
        <w:gridCol w:w="17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Name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Title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Signature</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Date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Assessment Performed By (GRC Analyst)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Control Owner Attestation (Third-Party Risk Management Team)</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Reviewer / Quality Assurance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Approver</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17.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180"/>
        <w:gridCol w:w="21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Version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Date</w:t>
            </w:r>
          </w:p>
        </w:tc>
        <w:tc>
          <w:tcPr>
            <w:tcW w:type="dxa" w:w="5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Description</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Author</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September 27, 2026</w:t>
            </w:r>
          </w:p>
        </w:tc>
        <w:tc>
          <w:tcPr>
            <w:tcW w:type="dxa" w:w="5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Initial creation of the Third-Party AI Vendor Risk Assessment supporting CTL-010 (SOC 2 CC9.2).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Maxine Jones, GRC Analyst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Portfolio Simulation Disclosure —</w:t>
            </w:r>
            <w:r>
              <w:rPr>
                <w:rFonts w:ascii="Calibri" w:cs="Calibri" w:eastAsia="Calibri" w:hAnsi="Calibri"/>
                <w:color w:val="222222"/>
                <w:sz w:val="18"/>
                <w:szCs w:val="18"/>
              </w:rPr>
              <w:t xml:space="preserve"> </w:t>
            </w:r>
            <w:r>
              <w:rPr>
                <w:rFonts w:ascii="Calibri" w:cs="Calibri" w:eastAsia="Calibri" w:hAnsi="Calibri"/>
                <w:i/>
                <w:iCs/>
                <w:color w:val="222222"/>
                <w:sz w:val="18"/>
                <w:szCs w:val="18"/>
              </w:rPr>
              <w:t xml:space="preserve">This artifact was created as part of a simulated GRC practice environment for educational and portfolio purposes and does not represent the records or control environment of an actual organization. No vendors, evidence, or approval records were reviewed.</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7F7F7F"/>
        <w:sz w:val="16"/>
        <w:szCs w:val="16"/>
      </w:rPr>
      <w:t xml:space="preserve">MAL-VRA-010   |   Confidential — Internal Use Only   |   Page </w:t>
    </w:r>
    <w:r>
      <w:rPr>
        <w:rFonts w:ascii="Calibri" w:cs="Calibri" w:eastAsia="Calibri" w:hAnsi="Calibri"/>
        <w:b/>
        <w:bCs/>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MAL-VRA-010 Third-Party AI Vendor Risk Assessment</dc:title>
  <dc:creator>Maxine Jones</dc:creator>
  <cp:lastModifiedBy>Un-named</cp:lastModifiedBy>
  <cp:revision>1</cp:revision>
  <dcterms:created xsi:type="dcterms:W3CDTF">2026-09-28T02:38:59.552Z</dcterms:created>
  <dcterms:modified xsi:type="dcterms:W3CDTF">2026-09-28T02:38:59.562Z</dcterms:modified>
</cp:coreProperties>
</file>

<file path=docProps/custom.xml><?xml version="1.0" encoding="utf-8"?>
<Properties xmlns="http://schemas.openxmlformats.org/officeDocument/2006/custom-properties" xmlns:vt="http://schemas.openxmlformats.org/officeDocument/2006/docPropsVTypes"/>
</file>