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01.5_ANNOTATIONS_Architecture_Corrections_Post-v2.1</w:t>
      </w:r>
    </w:p>
    <w:p>
      <w:pPr>
        <w:jc w:val="center"/>
      </w:pPr>
      <w:r>
        <w:rPr>
          <w:b/>
          <w:color w:val="444444"/>
          <w:sz w:val="32"/>
        </w:rPr>
        <w:t>Document d'Annotations — Écarts et Corrections Identifiés</w:t>
      </w:r>
    </w:p>
    <w:p/>
    <w:p>
      <w:pPr>
        <w:jc w:val="center"/>
      </w:pPr>
      <w:r>
        <w:rPr>
          <w:i/>
          <w:sz w:val="20"/>
        </w:rPr>
        <w:t>Document de Traçabilité — Version 1.0</w:t>
        <w:br/>
        <w:t>Classification : Portfolio Professionnel — Confidentiel Laboratoire</w:t>
        <w:br/>
        <w:t>Auteur : Malik Belkacemi — Architecte Réseau &amp; Sécurité</w:t>
        <w:br/>
        <w:t>Date de publication : 2 Août 2026</w:t>
        <w:br/>
        <w:t>Dépendance : DOC-ARCH-001 (v2.1) — DOC-DOM-001 (v1.1) — 05.1_DOC-SRV2-001</w:t>
        <w:br/>
        <w:t>Chemin cible : D:\Projet Lab-SRV1\01_Architecture_Reseau\</w:t>
      </w:r>
    </w:p>
    <w:p>
      <w:r>
        <w:t>________________________________________________________________________________</w:t>
      </w:r>
    </w:p>
    <w:p>
      <w:pPr>
        <w:pStyle w:val="Heading1"/>
        <w:jc w:val="left"/>
      </w:pPr>
      <w:r>
        <w:rPr>
          <w:b/>
          <w:color w:val="000000"/>
          <w:sz w:val="32"/>
        </w:rPr>
        <w:t>INTRODUCTION</w:t>
      </w:r>
    </w:p>
    <w:p>
      <w:pPr>
        <w:spacing w:after="120"/>
      </w:pPr>
      <w:r>
        <w:rPr>
          <w:b w:val="0"/>
          <w:i w:val="0"/>
          <w:sz w:val="22"/>
        </w:rPr>
        <w:t>Ce document d'annotations recense les écarts identifiés entre la documentation d'architecture (v2.1) et l'état réel du lab au 2 août 2026. Chaque écart est documenté avec sa cause, sa justification, et l'action corrective ou de traçabilité requise. Ce document garantit la cohérence du portfolio malgré l'évolution rapide du projet.</w:t>
      </w:r>
    </w:p>
    <w:p>
      <w:pPr>
        <w:spacing w:after="120"/>
      </w:pPr>
      <w:r>
        <w:rPr>
          <w:b/>
          <w:i w:val="0"/>
          <w:sz w:val="22"/>
        </w:rPr>
        <w:t>▸ Principe de traçabilité</w:t>
      </w:r>
    </w:p>
    <w:p>
      <w:pPr>
        <w:spacing w:after="120"/>
      </w:pPr>
      <w:r>
        <w:rPr>
          <w:b w:val="0"/>
          <w:i w:val="0"/>
          <w:sz w:val="22"/>
        </w:rPr>
        <w:t>Tout écart entre la documentation et la réalité doit être annoté. Aucune modification n'est faite silencieusement sur le terrain sans être reflétée dans un document de suivi. C'est la règle d'or du portfolio professionnel : la documentation est aussi importante que l'infrastructure.</w:t>
      </w:r>
    </w:p>
    <w:p>
      <w:pPr>
        <w:pStyle w:val="Heading1"/>
        <w:jc w:val="left"/>
      </w:pPr>
      <w:r>
        <w:rPr>
          <w:b/>
          <w:color w:val="000000"/>
          <w:sz w:val="32"/>
        </w:rPr>
        <w:t>ANNOTATION 1 : IP de SRV2 — Écart Architecture vs Réalité</w:t>
      </w:r>
    </w:p>
    <w:p>
      <w:pPr>
        <w:pStyle w:val="Heading2"/>
        <w:jc w:val="left"/>
      </w:pPr>
      <w:r>
        <w:rPr>
          <w:b/>
          <w:color w:val="000000"/>
          <w:sz w:val="28"/>
        </w:rPr>
        <w:t>1.1 Écart identifié</w:t>
      </w:r>
    </w:p>
    <w:p>
      <w:pPr>
        <w:spacing w:after="120"/>
      </w:pPr>
      <w:r>
        <w:rPr>
          <w:b w:val="0"/>
          <w:i w:val="0"/>
          <w:sz w:val="22"/>
        </w:rPr>
        <w:t>Le document d'architecture DOC-ARCH-001 (v2.1), section 1.4 'Inventaire des Machines Virtuelles', attribue à SRV2 l'adresse IP 192.168.50.2 avec le statut 'À définir (Alma / Ubuntu / Win 2022)'. Le document 05.1_DOC-SRV2-001 (v1.0, 2 août 2026) confirme SRV2 comme Windows Server 2022 avec l'IP 192.168.50.17.</w:t>
      </w:r>
    </w:p>
    <w:p>
      <w:pPr>
        <w:spacing w:after="80"/>
        <w:ind w:left="360"/>
      </w:pPr>
      <w:r>
        <w:rPr>
          <w:i/>
          <w:color w:val="CC6600"/>
          <w:sz w:val="20"/>
        </w:rPr>
        <w:t>[ANNOTATION] Écart confirmé par lecture croisée des documents 01.4 (v2.1) et 05.1 (v1.0) le 2 août 2026 à 02:05.</w:t>
      </w:r>
    </w:p>
    <w:p>
      <w:pPr>
        <w:pStyle w:val="Heading2"/>
        <w:jc w:val="left"/>
      </w:pPr>
      <w:r>
        <w:rPr>
          <w:b/>
          <w:color w:val="000000"/>
          <w:sz w:val="28"/>
        </w:rPr>
        <w:t>1.2 Cause de l'écart</w:t>
      </w:r>
    </w:p>
    <w:p>
      <w:pPr>
        <w:spacing w:after="120"/>
      </w:pPr>
      <w:r>
        <w:rPr>
          <w:b w:val="0"/>
          <w:i w:val="0"/>
          <w:sz w:val="22"/>
        </w:rPr>
        <w:t>L'IP 192.168.50.2 a été réservée dans le plan initial (v1.0/v2.0) comme adresse statique pour le futur SRV2. Lors du déploiement réel de SRV2 (Phase 5, 2 août 2026), l'IP 192.168.50.17 a été choisie pour éviter tout conflit avec le scope DHCP actif (192.168.50.10 – 192.168.50.200) et pour libérer 192.168.50.2 en cas de besoin futur (second serveur applicatif ou DC secondaire).</w:t>
      </w:r>
    </w:p>
    <w:p>
      <w:pPr>
        <w:spacing w:after="80"/>
        <w:ind w:left="360"/>
      </w:pPr>
      <w:r>
        <w:rPr>
          <w:i/>
          <w:color w:val="CC6600"/>
          <w:sz w:val="20"/>
        </w:rPr>
        <w:t>[ANNOTATION] Décision prise lors du déploiement SRV2 le 2 août 2026. Le scope DHCP n'a pas été modifié.</w:t>
      </w:r>
    </w:p>
    <w:p>
      <w:pPr>
        <w:pStyle w:val="Heading2"/>
        <w:jc w:val="left"/>
      </w:pPr>
      <w:r>
        <w:rPr>
          <w:b/>
          <w:color w:val="000000"/>
          <w:sz w:val="28"/>
        </w:rPr>
        <w:t>1.3 Justification</w:t>
      </w:r>
    </w:p>
    <w:p>
      <w:pPr>
        <w:pStyle w:val="ListBullet"/>
        <w:spacing w:after="80"/>
      </w:pPr>
      <w:r>
        <w:rPr>
          <w:b w:val="0"/>
          <w:sz w:val="22"/>
        </w:rPr>
        <w:t>192.168.50.2 est dans la plage d'exclusions manuelles du scope DHCP (réservée pour IPs fixes).</w:t>
      </w:r>
    </w:p>
    <w:p>
      <w:pPr>
        <w:pStyle w:val="ListBullet"/>
        <w:spacing w:after="80"/>
      </w:pPr>
      <w:r>
        <w:rPr>
          <w:b w:val="0"/>
          <w:sz w:val="22"/>
        </w:rPr>
        <w:t>192.168.50.17 est dans la plage d'attribution DHCP mais a été configurée en statique sur SRV2 après exclusion du scope.</w:t>
      </w:r>
    </w:p>
    <w:p>
      <w:pPr>
        <w:pStyle w:val="ListBullet"/>
        <w:spacing w:after="80"/>
      </w:pPr>
      <w:r>
        <w:rPr>
          <w:b w:val="0"/>
          <w:sz w:val="22"/>
        </w:rPr>
        <w:t>Cette approche évite tout conflit DHCP/lease et préserve 192.168.50.2 pour un usage futur.</w:t>
      </w:r>
    </w:p>
    <w:p>
      <w:pPr>
        <w:spacing w:after="80"/>
        <w:ind w:left="360"/>
      </w:pPr>
      <w:r>
        <w:rPr>
          <w:i/>
          <w:color w:val="CC6600"/>
          <w:sz w:val="20"/>
        </w:rPr>
        <w:t>[ANNOTATION] Le scope DHCP (192.168.50.10–192.168.50.200) n'inclut pas 192.168.50.2, mais l'exclusion de 192.168.50.17 n'a pas été formellement documentée dans le DHCP. À vérifier.</w:t>
      </w:r>
    </w:p>
    <w:p>
      <w:pPr>
        <w:pStyle w:val="Heading2"/>
        <w:jc w:val="left"/>
      </w:pPr>
      <w:r>
        <w:rPr>
          <w:b/>
          <w:color w:val="000000"/>
          <w:sz w:val="28"/>
        </w:rPr>
        <w:t>1.4 Action corrective / Traçabilité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Action</w:t>
            </w:r>
          </w:p>
        </w:tc>
        <w:tc>
          <w:tcPr>
            <w:tcW w:type="dxa" w:w="2880"/>
          </w:tcPr>
          <w:p>
            <w:r>
              <w:rPr>
                <w:b/>
                <w:sz w:val="22"/>
              </w:rPr>
              <w:t>Responsable</w:t>
            </w:r>
          </w:p>
        </w:tc>
        <w:tc>
          <w:tcPr>
            <w:tcW w:type="dxa" w:w="2880"/>
          </w:tcPr>
          <w:p>
            <w:r>
              <w:rPr>
                <w:b/>
                <w:sz w:val="22"/>
              </w:rPr>
              <w:t>Statut</w:t>
            </w:r>
          </w:p>
        </w:tc>
      </w:tr>
      <w:tr>
        <w:tc>
          <w:tcPr>
            <w:tcW w:type="dxa" w:w="2880"/>
          </w:tcPr>
          <w:p>
            <w:r>
              <w:rPr>
                <w:sz w:val="20"/>
              </w:rPr>
              <w:t>Documenter l'exclusion 192.168.50.17 dans le scope DHCP sur SRV1</w:t>
            </w:r>
          </w:p>
        </w:tc>
        <w:tc>
          <w:tcPr>
            <w:tcW w:type="dxa" w:w="2880"/>
          </w:tcPr>
          <w:p>
            <w:r>
              <w:rPr>
                <w:sz w:val="20"/>
              </w:rPr>
              <w:t>Malik</w:t>
            </w:r>
          </w:p>
        </w:tc>
        <w:tc>
          <w:tcPr>
            <w:tcW w:type="dxa" w:w="2880"/>
          </w:tcPr>
          <w:p>
            <w:r>
              <w:rPr>
                <w:sz w:val="20"/>
              </w:rPr>
              <w:t>⏳ En attente</w:t>
            </w:r>
          </w:p>
        </w:tc>
      </w:tr>
      <w:tr>
        <w:tc>
          <w:tcPr>
            <w:tcW w:type="dxa" w:w="2880"/>
          </w:tcPr>
          <w:p>
            <w:r>
              <w:rPr>
                <w:sz w:val="20"/>
              </w:rPr>
              <w:t>Mettre à jour DOC-ARCH-001 (v2.2) avec IP SRV2 = 192.168.50.17</w:t>
            </w:r>
          </w:p>
        </w:tc>
        <w:tc>
          <w:tcPr>
            <w:tcW w:type="dxa" w:w="2880"/>
          </w:tcPr>
          <w:p>
            <w:r>
              <w:rPr>
                <w:sz w:val="20"/>
              </w:rPr>
              <w:t>Malik</w:t>
            </w:r>
          </w:p>
        </w:tc>
        <w:tc>
          <w:tcPr>
            <w:tcW w:type="dxa" w:w="2880"/>
          </w:tcPr>
          <w:p>
            <w:r>
              <w:rPr>
                <w:sz w:val="20"/>
              </w:rPr>
              <w:t>⏳ En attente</w:t>
            </w:r>
          </w:p>
        </w:tc>
      </w:tr>
      <w:tr>
        <w:tc>
          <w:tcPr>
            <w:tcW w:type="dxa" w:w="2880"/>
          </w:tcPr>
          <w:p>
            <w:r>
              <w:rPr>
                <w:sz w:val="20"/>
              </w:rPr>
              <w:t>Conserver 192.168.50.2 comme IP réservée pour usage futur</w:t>
            </w:r>
          </w:p>
        </w:tc>
        <w:tc>
          <w:tcPr>
            <w:tcW w:type="dxa" w:w="2880"/>
          </w:tcPr>
          <w:p>
            <w:r>
              <w:rPr>
                <w:sz w:val="20"/>
              </w:rPr>
              <w:t>Malik</w:t>
            </w:r>
          </w:p>
        </w:tc>
        <w:tc>
          <w:tcPr>
            <w:tcW w:type="dxa" w:w="2880"/>
          </w:tcPr>
          <w:p>
            <w:r>
              <w:rPr>
                <w:sz w:val="20"/>
              </w:rPr>
              <w:t>✅ Validé</w:t>
            </w:r>
          </w:p>
        </w:tc>
      </w:tr>
    </w:tbl>
    <w:p>
      <w:pPr>
        <w:spacing w:after="120"/>
      </w:pPr>
      <w:r>
        <w:rPr>
          <w:b w:val="0"/>
          <w:i w:val="0"/>
          <w:sz w:val="22"/>
        </w:rPr>
      </w:r>
    </w:p>
    <w:p>
      <w:pPr>
        <w:spacing w:after="80"/>
        <w:ind w:left="360"/>
      </w:pPr>
      <w:r>
        <w:rPr>
          <w:i/>
          <w:color w:val="CC6600"/>
          <w:sz w:val="20"/>
        </w:rPr>
        <w:t>[ANNOTATION] La mise à jour DOC-ARCH-001 v2.2 sera réalisée après finalisation de la Phase 5 (SRV2 opérationnel).</w:t>
      </w:r>
    </w:p>
    <w:p>
      <w:pPr>
        <w:pStyle w:val="Heading1"/>
        <w:jc w:val="left"/>
      </w:pPr>
      <w:r>
        <w:rPr>
          <w:b/>
          <w:color w:val="000000"/>
          <w:sz w:val="32"/>
        </w:rPr>
        <w:t>ANNOTATION 2 : État Phase 2 (AD DS) — Planifiée vs Exécutée</w:t>
      </w:r>
    </w:p>
    <w:p>
      <w:pPr>
        <w:pStyle w:val="Heading2"/>
        <w:jc w:val="left"/>
      </w:pPr>
      <w:r>
        <w:rPr>
          <w:b/>
          <w:color w:val="000000"/>
          <w:sz w:val="28"/>
        </w:rPr>
        <w:t>2.1 Écart identifié</w:t>
      </w:r>
    </w:p>
    <w:p>
      <w:pPr>
        <w:spacing w:after="120"/>
      </w:pPr>
      <w:r>
        <w:rPr>
          <w:b w:val="0"/>
          <w:i w:val="0"/>
          <w:sz w:val="22"/>
        </w:rPr>
        <w:t>Le document DOC-ARCH-001 (v2.1) indique la Phase 1 comme 'En cours' (🔄) avec la note 'hardening réseau en cours'. Le document DOC-DOM-001 (v1.1) présente un plan d'action complet pour la Phase 2 (AD DS) avec 7 étapes numérotées, commandes PowerShell, et checklist de validation. Cependant, aucun document de preuve d'exécution (logs, captures, incidents) n'est présent dans l'arborescence. Les prérequis PRQ-01 à PRQ-05 ne sont pas formellement validés.</w:t>
      </w:r>
    </w:p>
    <w:p>
      <w:pPr>
        <w:spacing w:after="80"/>
        <w:ind w:left="360"/>
      </w:pPr>
      <w:r>
        <w:rPr>
          <w:i/>
          <w:color w:val="CC6600"/>
          <w:sz w:val="20"/>
        </w:rPr>
        <w:t>[ANNOTATION] Confirmation par scan arborescence du 2 août 2026 à 00:16 : aucun fichier de log d'exécution Phase 2 dans 09_Exports ou 03_Identite_Domaine_AD.</w:t>
      </w:r>
    </w:p>
    <w:p>
      <w:pPr>
        <w:pStyle w:val="Heading2"/>
        <w:jc w:val="left"/>
      </w:pPr>
      <w:r>
        <w:rPr>
          <w:b/>
          <w:color w:val="000000"/>
          <w:sz w:val="28"/>
        </w:rPr>
        <w:t>2.2 Cause de l'écart</w:t>
      </w:r>
    </w:p>
    <w:p>
      <w:pPr>
        <w:spacing w:after="120"/>
      </w:pPr>
      <w:r>
        <w:rPr>
          <w:b w:val="0"/>
          <w:i w:val="0"/>
          <w:sz w:val="22"/>
        </w:rPr>
        <w:t>La Phase 1 a été finalisée (script v3, 7/7 tests OK) entre la publication de DOC-ARCH-001 v2.1 (1er août) et la génération de DOC-DOM-001 v1.1 (1er août soir). Cependant, la Phase 2 n'a pas encore été exécutée car les prérequis (notamment snapshot Hyper-V et mot de passe DSRM) n'ont pas été validés.</w:t>
      </w:r>
    </w:p>
    <w:p>
      <w:pPr>
        <w:spacing w:after="80"/>
        <w:ind w:left="360"/>
      </w:pPr>
      <w:r>
        <w:rPr>
          <w:i/>
          <w:color w:val="CC6600"/>
          <w:sz w:val="20"/>
        </w:rPr>
        <w:t>[ANNOTATION] Le statut 'En cours' de la Phase 1 dans DOC-ARCH-001 v2.1 est obsolète — la Phase 1 est terminée. Cette annotation corrige ce point.</w:t>
      </w:r>
    </w:p>
    <w:p>
      <w:pPr>
        <w:pStyle w:val="Heading2"/>
        <w:jc w:val="left"/>
      </w:pPr>
      <w:r>
        <w:rPr>
          <w:b/>
          <w:color w:val="000000"/>
          <w:sz w:val="28"/>
        </w:rPr>
        <w:t>2.3 Justification</w:t>
      </w:r>
    </w:p>
    <w:p>
      <w:pPr>
        <w:pStyle w:val="ListBullet"/>
        <w:spacing w:after="80"/>
      </w:pPr>
      <w:r>
        <w:rPr>
          <w:b w:val="0"/>
          <w:sz w:val="22"/>
        </w:rPr>
        <w:t>La séquence hardening → AD DS est non négociable (règle d'or du document).</w:t>
      </w:r>
    </w:p>
    <w:p>
      <w:pPr>
        <w:pStyle w:val="ListBullet"/>
        <w:spacing w:after="80"/>
      </w:pPr>
      <w:r>
        <w:rPr>
          <w:b w:val="0"/>
          <w:sz w:val="22"/>
        </w:rPr>
        <w:t>Un DC mal durci expose l'intégralité des credentials et des stratégies.</w:t>
      </w:r>
    </w:p>
    <w:p>
      <w:pPr>
        <w:pStyle w:val="ListBullet"/>
        <w:spacing w:after="80"/>
      </w:pPr>
      <w:r>
        <w:rPr>
          <w:b w:val="0"/>
          <w:sz w:val="22"/>
        </w:rPr>
        <w:t>Le snapshot 'Pre-Phase2-DC-Promotion' est un prérequis strict (PRQ-02) — il n'existe pas encore.</w:t>
      </w:r>
    </w:p>
    <w:p>
      <w:pPr>
        <w:spacing w:after="80"/>
        <w:ind w:left="360"/>
      </w:pPr>
      <w:r>
        <w:rPr>
          <w:i/>
          <w:color w:val="CC6600"/>
          <w:sz w:val="20"/>
        </w:rPr>
        <w:t>[ANNOTATION] Le snapshot est la seule méthode de rollback fiable pour une promotion DC. Sans snapshot, le risque de re-création from-scratch est élevé.</w:t>
      </w:r>
    </w:p>
    <w:p>
      <w:pPr>
        <w:pStyle w:val="Heading2"/>
        <w:jc w:val="left"/>
      </w:pPr>
      <w:r>
        <w:rPr>
          <w:b/>
          <w:color w:val="000000"/>
          <w:sz w:val="28"/>
        </w:rPr>
        <w:t>2.4 Action corrective / Traçabilité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Action</w:t>
            </w:r>
          </w:p>
        </w:tc>
        <w:tc>
          <w:tcPr>
            <w:tcW w:type="dxa" w:w="2880"/>
          </w:tcPr>
          <w:p>
            <w:r>
              <w:rPr>
                <w:b/>
                <w:sz w:val="22"/>
              </w:rPr>
              <w:t>Responsable</w:t>
            </w:r>
          </w:p>
        </w:tc>
        <w:tc>
          <w:tcPr>
            <w:tcW w:type="dxa" w:w="2880"/>
          </w:tcPr>
          <w:p>
            <w:r>
              <w:rPr>
                <w:b/>
                <w:sz w:val="22"/>
              </w:rPr>
              <w:t>Statut</w:t>
            </w:r>
          </w:p>
        </w:tc>
      </w:tr>
      <w:tr>
        <w:tc>
          <w:tcPr>
            <w:tcW w:type="dxa" w:w="2880"/>
          </w:tcPr>
          <w:p>
            <w:r>
              <w:rPr>
                <w:sz w:val="20"/>
              </w:rPr>
              <w:t>Créer snapshot Hyper-V 'Pre-Phase2-DC-Promotion'</w:t>
            </w:r>
          </w:p>
        </w:tc>
        <w:tc>
          <w:tcPr>
            <w:tcW w:type="dxa" w:w="2880"/>
          </w:tcPr>
          <w:p>
            <w:r>
              <w:rPr>
                <w:sz w:val="20"/>
              </w:rPr>
              <w:t>Malik</w:t>
            </w:r>
          </w:p>
        </w:tc>
        <w:tc>
          <w:tcPr>
            <w:tcW w:type="dxa" w:w="2880"/>
          </w:tcPr>
          <w:p>
            <w:r>
              <w:rPr>
                <w:sz w:val="20"/>
              </w:rPr>
              <w:t>⏳ En attente</w:t>
            </w:r>
          </w:p>
        </w:tc>
      </w:tr>
      <w:tr>
        <w:tc>
          <w:tcPr>
            <w:tcW w:type="dxa" w:w="2880"/>
          </w:tcPr>
          <w:p>
            <w:r>
              <w:rPr>
                <w:sz w:val="20"/>
              </w:rPr>
              <w:t>Définir et documenter mot de passe DSRM (hors VM)</w:t>
            </w:r>
          </w:p>
        </w:tc>
        <w:tc>
          <w:tcPr>
            <w:tcW w:type="dxa" w:w="2880"/>
          </w:tcPr>
          <w:p>
            <w:r>
              <w:rPr>
                <w:sz w:val="20"/>
              </w:rPr>
              <w:t>Malik</w:t>
            </w:r>
          </w:p>
        </w:tc>
        <w:tc>
          <w:tcPr>
            <w:tcW w:type="dxa" w:w="2880"/>
          </w:tcPr>
          <w:p>
            <w:r>
              <w:rPr>
                <w:sz w:val="20"/>
              </w:rPr>
              <w:t>⏳ En attente</w:t>
            </w:r>
          </w:p>
        </w:tc>
      </w:tr>
      <w:tr>
        <w:tc>
          <w:tcPr>
            <w:tcW w:type="dxa" w:w="2880"/>
          </w:tcPr>
          <w:p>
            <w:r>
              <w:rPr>
                <w:sz w:val="20"/>
              </w:rPr>
              <w:t>Valider PRQ-01 : Phase 1 terminée (checklist A.4)</w:t>
            </w:r>
          </w:p>
        </w:tc>
        <w:tc>
          <w:tcPr>
            <w:tcW w:type="dxa" w:w="2880"/>
          </w:tcPr>
          <w:p>
            <w:r>
              <w:rPr>
                <w:sz w:val="20"/>
              </w:rPr>
              <w:t>Malik</w:t>
            </w:r>
          </w:p>
        </w:tc>
        <w:tc>
          <w:tcPr>
            <w:tcW w:type="dxa" w:w="2880"/>
          </w:tcPr>
          <w:p>
            <w:r>
              <w:rPr>
                <w:sz w:val="20"/>
              </w:rPr>
              <w:t>✅ Validé</w:t>
            </w:r>
          </w:p>
        </w:tc>
      </w:tr>
      <w:tr>
        <w:tc>
          <w:tcPr>
            <w:tcW w:type="dxa" w:w="2880"/>
          </w:tcPr>
          <w:p>
            <w:r>
              <w:rPr>
                <w:sz w:val="20"/>
              </w:rPr>
              <w:t>Valider PRQ-03 : Win10/Win11 clean, DHCP, ping OK</w:t>
            </w:r>
          </w:p>
        </w:tc>
        <w:tc>
          <w:tcPr>
            <w:tcW w:type="dxa" w:w="2880"/>
          </w:tcPr>
          <w:p>
            <w:r>
              <w:rPr>
                <w:sz w:val="20"/>
              </w:rPr>
              <w:t>Malik</w:t>
            </w:r>
          </w:p>
        </w:tc>
        <w:tc>
          <w:tcPr>
            <w:tcW w:type="dxa" w:w="2880"/>
          </w:tcPr>
          <w:p>
            <w:r>
              <w:rPr>
                <w:sz w:val="20"/>
              </w:rPr>
              <w:t>✅ Validé</w:t>
            </w:r>
          </w:p>
        </w:tc>
      </w:tr>
      <w:tr>
        <w:tc>
          <w:tcPr>
            <w:tcW w:type="dxa" w:w="2880"/>
          </w:tcPr>
          <w:p>
            <w:r>
              <w:rPr>
                <w:sz w:val="20"/>
              </w:rPr>
              <w:t>Valider PRQ-05 : Nom domaine lab.local</w:t>
            </w:r>
          </w:p>
        </w:tc>
        <w:tc>
          <w:tcPr>
            <w:tcW w:type="dxa" w:w="2880"/>
          </w:tcPr>
          <w:p>
            <w:r>
              <w:rPr>
                <w:sz w:val="20"/>
              </w:rPr>
              <w:t>Malik</w:t>
            </w:r>
          </w:p>
        </w:tc>
        <w:tc>
          <w:tcPr>
            <w:tcW w:type="dxa" w:w="2880"/>
          </w:tcPr>
          <w:p>
            <w:r>
              <w:rPr>
                <w:sz w:val="20"/>
              </w:rPr>
              <w:t>✅ Validé</w:t>
            </w:r>
          </w:p>
        </w:tc>
      </w:tr>
      <w:tr>
        <w:tc>
          <w:tcPr>
            <w:tcW w:type="dxa" w:w="2880"/>
          </w:tcPr>
          <w:p>
            <w:r>
              <w:rPr>
                <w:sz w:val="20"/>
              </w:rPr>
              <w:t>Exécuter Phase 2 (DOC-DOM-001 v1.1) et remplir templates suivi</w:t>
            </w:r>
          </w:p>
        </w:tc>
        <w:tc>
          <w:tcPr>
            <w:tcW w:type="dxa" w:w="2880"/>
          </w:tcPr>
          <w:p>
            <w:r>
              <w:rPr>
                <w:sz w:val="20"/>
              </w:rPr>
              <w:t>Malik</w:t>
            </w:r>
          </w:p>
        </w:tc>
        <w:tc>
          <w:tcPr>
            <w:tcW w:type="dxa" w:w="2880"/>
          </w:tcPr>
          <w:p>
            <w:r>
              <w:rPr>
                <w:sz w:val="20"/>
              </w:rPr>
              <w:t>⏳ En attente</w:t>
            </w:r>
          </w:p>
        </w:tc>
      </w:tr>
    </w:tbl>
    <w:p>
      <w:pPr>
        <w:spacing w:after="120"/>
      </w:pPr>
      <w:r>
        <w:rPr>
          <w:b w:val="0"/>
          <w:i w:val="0"/>
          <w:sz w:val="22"/>
        </w:rPr>
      </w:r>
    </w:p>
    <w:p>
      <w:pPr>
        <w:spacing w:after="80"/>
        <w:ind w:left="360"/>
      </w:pPr>
      <w:r>
        <w:rPr>
          <w:i/>
          <w:color w:val="CC6600"/>
          <w:sz w:val="20"/>
        </w:rPr>
        <w:t>[ANNOTATION] PRQ-04 (DSRM) est le blocage actuel. Dès que PRQ-02 et PRQ-04 sont validés, la Phase 2 peut commencer.</w:t>
      </w:r>
    </w:p>
    <w:p>
      <w:pPr>
        <w:pStyle w:val="Heading1"/>
        <w:jc w:val="left"/>
      </w:pPr>
      <w:r>
        <w:rPr>
          <w:b/>
          <w:color w:val="000000"/>
          <w:sz w:val="32"/>
        </w:rPr>
        <w:t>ANNOTATION 3 : État Phase 5 (SRV2) — Déploiement en cours</w:t>
      </w:r>
    </w:p>
    <w:p>
      <w:pPr>
        <w:pStyle w:val="Heading2"/>
        <w:jc w:val="left"/>
      </w:pPr>
      <w:r>
        <w:rPr>
          <w:b/>
          <w:color w:val="000000"/>
          <w:sz w:val="28"/>
        </w:rPr>
        <w:t>3.1 Écart identifié</w:t>
      </w:r>
    </w:p>
    <w:p>
      <w:pPr>
        <w:spacing w:after="120"/>
      </w:pPr>
      <w:r>
        <w:rPr>
          <w:b w:val="0"/>
          <w:i w:val="0"/>
          <w:sz w:val="22"/>
        </w:rPr>
        <w:t>Le document DOC-ARCH-001 (v2.1) liste SRV2 avec le statut 'À déployer' et l'OS 'À définir'. Le document 05.1_DOC-SRV2-001 (v1.0) confirme SRV2 comme Windows Server 2022 (FR) en déploiement. Cependant, le déploiement est actuellement bloqué sur l'erreur Windows Update 0x80070057.</w:t>
      </w:r>
    </w:p>
    <w:p>
      <w:pPr>
        <w:spacing w:after="80"/>
        <w:ind w:left="360"/>
      </w:pPr>
      <w:r>
        <w:rPr>
          <w:i/>
          <w:color w:val="CC6600"/>
          <w:sz w:val="20"/>
        </w:rPr>
        <w:t>[ANNOTATION] Erreur 0x80070057 observée le 2 août 2026 lors de l'installation des mises à jour cumulatives sur SRV2. DISM /RestoreHealth en cours.</w:t>
      </w:r>
    </w:p>
    <w:p>
      <w:pPr>
        <w:pStyle w:val="Heading2"/>
        <w:jc w:val="left"/>
      </w:pPr>
      <w:r>
        <w:rPr>
          <w:b/>
          <w:color w:val="000000"/>
          <w:sz w:val="28"/>
        </w:rPr>
        <w:t>3.2 Cause de l'écart</w:t>
      </w:r>
    </w:p>
    <w:p>
      <w:pPr>
        <w:spacing w:after="120"/>
      </w:pPr>
      <w:r>
        <w:rPr>
          <w:b w:val="0"/>
          <w:i w:val="0"/>
          <w:sz w:val="22"/>
        </w:rPr>
        <w:t>L'erreur 0x80070057 (ERROR_INVALID_PARAMETER) est une erreur générique Windows Update souvent causée par : (1) corruption du store de composants Windows (WinSxS), (2) espace disque insuffisant, (3) conflit de pilote, ou (4) image ISO d'installation endommagée. DISM /RestoreHealth tente de réparer le store de composants.</w:t>
      </w:r>
    </w:p>
    <w:p>
      <w:pPr>
        <w:spacing w:after="80"/>
        <w:ind w:left="360"/>
      </w:pPr>
      <w:r>
        <w:rPr>
          <w:i/>
          <w:color w:val="CC6600"/>
          <w:sz w:val="20"/>
        </w:rPr>
        <w:t>[ANNOTATION] DISM lancé avec la commande : DISM /Online /Cleanup-Image /RestoreHealth. Source de réparation : image ISO Windows Server 2022 montée.</w:t>
      </w:r>
    </w:p>
    <w:p>
      <w:pPr>
        <w:pStyle w:val="Heading2"/>
        <w:jc w:val="left"/>
      </w:pPr>
      <w:r>
        <w:rPr>
          <w:b/>
          <w:color w:val="000000"/>
          <w:sz w:val="28"/>
        </w:rPr>
        <w:t>3.3 Justification</w:t>
      </w:r>
    </w:p>
    <w:p>
      <w:pPr>
        <w:pStyle w:val="ListBullet"/>
        <w:spacing w:after="80"/>
      </w:pPr>
      <w:r>
        <w:rPr>
          <w:b w:val="0"/>
          <w:sz w:val="22"/>
        </w:rPr>
        <w:t>SRV2 doit être complètement à jour avant l'installation des rôles IIS/MariaDB/SMB.</w:t>
      </w:r>
    </w:p>
    <w:p>
      <w:pPr>
        <w:pStyle w:val="ListBullet"/>
        <w:spacing w:after="80"/>
      </w:pPr>
      <w:r>
        <w:rPr>
          <w:b w:val="0"/>
          <w:sz w:val="22"/>
        </w:rPr>
        <w:t>Une VM vulnérable mais non patchée est une cible irréaliste — les failles doivent être volontaires, pas accidentelles.</w:t>
      </w:r>
    </w:p>
    <w:p>
      <w:pPr>
        <w:pStyle w:val="ListBullet"/>
        <w:spacing w:after="80"/>
      </w:pPr>
      <w:r>
        <w:rPr>
          <w:b w:val="0"/>
          <w:sz w:val="22"/>
        </w:rPr>
        <w:t>L'erreur 0x80070057 est documentée ici comme incident technique réel, pas comme faille de sécurité.</w:t>
      </w:r>
    </w:p>
    <w:p>
      <w:pPr>
        <w:spacing w:after="80"/>
        <w:ind w:left="360"/>
      </w:pPr>
      <w:r>
        <w:rPr>
          <w:i/>
          <w:color w:val="CC6600"/>
          <w:sz w:val="20"/>
        </w:rPr>
        <w:t>[ANNOTATION] Cette erreur est un incident de déploiement, pas une faille de sécurité. Elle doit être résolue avant de continuer la configuration des failles volontaires.</w:t>
      </w:r>
    </w:p>
    <w:p>
      <w:pPr>
        <w:pStyle w:val="Heading2"/>
        <w:jc w:val="left"/>
      </w:pPr>
      <w:r>
        <w:rPr>
          <w:b/>
          <w:color w:val="000000"/>
          <w:sz w:val="28"/>
        </w:rPr>
        <w:t>3.4 Action corrective / Traçabilité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Action</w:t>
            </w:r>
          </w:p>
        </w:tc>
        <w:tc>
          <w:tcPr>
            <w:tcW w:type="dxa" w:w="2880"/>
          </w:tcPr>
          <w:p>
            <w:r>
              <w:rPr>
                <w:b/>
                <w:sz w:val="22"/>
              </w:rPr>
              <w:t>Responsable</w:t>
            </w:r>
          </w:p>
        </w:tc>
        <w:tc>
          <w:tcPr>
            <w:tcW w:type="dxa" w:w="2880"/>
          </w:tcPr>
          <w:p>
            <w:r>
              <w:rPr>
                <w:b/>
                <w:sz w:val="22"/>
              </w:rPr>
              <w:t>Statut</w:t>
            </w:r>
          </w:p>
        </w:tc>
      </w:tr>
      <w:tr>
        <w:tc>
          <w:tcPr>
            <w:tcW w:type="dxa" w:w="2880"/>
          </w:tcPr>
          <w:p>
            <w:r>
              <w:rPr>
                <w:sz w:val="20"/>
              </w:rPr>
              <w:t>Attendre fin DISM /RestoreHealth et valider sortie</w:t>
            </w:r>
          </w:p>
        </w:tc>
        <w:tc>
          <w:tcPr>
            <w:tcW w:type="dxa" w:w="2880"/>
          </w:tcPr>
          <w:p>
            <w:r>
              <w:rPr>
                <w:sz w:val="20"/>
              </w:rPr>
              <w:t>Malik</w:t>
            </w:r>
          </w:p>
        </w:tc>
        <w:tc>
          <w:tcPr>
            <w:tcW w:type="dxa" w:w="2880"/>
          </w:tcPr>
          <w:p>
            <w:r>
              <w:rPr>
                <w:sz w:val="20"/>
              </w:rPr>
              <w:t>🔄 En cours</w:t>
            </w:r>
          </w:p>
        </w:tc>
      </w:tr>
      <w:tr>
        <w:tc>
          <w:tcPr>
            <w:tcW w:type="dxa" w:w="2880"/>
          </w:tcPr>
          <w:p>
            <w:r>
              <w:rPr>
                <w:sz w:val="20"/>
              </w:rPr>
              <w:t>Si DISM échoue : réinstaller SRV2 from ISO vérifié</w:t>
            </w:r>
          </w:p>
        </w:tc>
        <w:tc>
          <w:tcPr>
            <w:tcW w:type="dxa" w:w="2880"/>
          </w:tcPr>
          <w:p>
            <w:r>
              <w:rPr>
                <w:sz w:val="20"/>
              </w:rPr>
              <w:t>Malik</w:t>
            </w:r>
          </w:p>
        </w:tc>
        <w:tc>
          <w:tcPr>
            <w:tcW w:type="dxa" w:w="2880"/>
          </w:tcPr>
          <w:p>
            <w:r>
              <w:rPr>
                <w:sz w:val="20"/>
              </w:rPr>
              <w:t>⏳ Plan B</w:t>
            </w:r>
          </w:p>
        </w:tc>
      </w:tr>
      <w:tr>
        <w:tc>
          <w:tcPr>
            <w:tcW w:type="dxa" w:w="2880"/>
          </w:tcPr>
          <w:p>
            <w:r>
              <w:rPr>
                <w:sz w:val="20"/>
              </w:rPr>
              <w:t>Si DISM réussit : relancer Windows Update</w:t>
            </w:r>
          </w:p>
        </w:tc>
        <w:tc>
          <w:tcPr>
            <w:tcW w:type="dxa" w:w="2880"/>
          </w:tcPr>
          <w:p>
            <w:r>
              <w:rPr>
                <w:sz w:val="20"/>
              </w:rPr>
              <w:t>Malik</w:t>
            </w:r>
          </w:p>
        </w:tc>
        <w:tc>
          <w:tcPr>
            <w:tcW w:type="dxa" w:w="2880"/>
          </w:tcPr>
          <w:p>
            <w:r>
              <w:rPr>
                <w:sz w:val="20"/>
              </w:rPr>
              <w:t>⏳ En attente</w:t>
            </w:r>
          </w:p>
        </w:tc>
      </w:tr>
      <w:tr>
        <w:tc>
          <w:tcPr>
            <w:tcW w:type="dxa" w:w="2880"/>
          </w:tcPr>
          <w:p>
            <w:r>
              <w:rPr>
                <w:sz w:val="20"/>
              </w:rPr>
              <w:t>Documenter résolution dans 05.2_Incident_SRV2_WinUpdate_0x80070057</w:t>
            </w:r>
          </w:p>
        </w:tc>
        <w:tc>
          <w:tcPr>
            <w:tcW w:type="dxa" w:w="2880"/>
          </w:tcPr>
          <w:p>
            <w:r>
              <w:rPr>
                <w:sz w:val="20"/>
              </w:rPr>
              <w:t>Malik</w:t>
            </w:r>
          </w:p>
        </w:tc>
        <w:tc>
          <w:tcPr>
            <w:tcW w:type="dxa" w:w="2880"/>
          </w:tcPr>
          <w:p>
            <w:r>
              <w:rPr>
                <w:sz w:val="20"/>
              </w:rPr>
              <w:t>⏳ En attente</w:t>
            </w:r>
          </w:p>
        </w:tc>
      </w:tr>
    </w:tbl>
    <w:p>
      <w:pPr>
        <w:spacing w:after="120"/>
      </w:pPr>
      <w:r>
        <w:rPr>
          <w:b w:val="0"/>
          <w:i w:val="0"/>
          <w:sz w:val="22"/>
        </w:rPr>
      </w:r>
    </w:p>
    <w:p>
      <w:pPr>
        <w:spacing w:after="80"/>
        <w:ind w:left="360"/>
      </w:pPr>
      <w:r>
        <w:rPr>
          <w:i/>
          <w:color w:val="CC6600"/>
          <w:sz w:val="20"/>
        </w:rPr>
        <w:t>[ANNOTATION] Le document d'incident 05.2 sera créé dès résolution de l'erreur. Il constituera la preuve de gestion d'incident pour le portfolio.</w:t>
      </w:r>
    </w:p>
    <w:p>
      <w:pPr>
        <w:pStyle w:val="Heading1"/>
        <w:jc w:val="left"/>
      </w:pPr>
      <w:r>
        <w:rPr>
          <w:b/>
          <w:color w:val="000000"/>
          <w:sz w:val="32"/>
        </w:rPr>
        <w:t>TABLEAU RÉCAPITULATIF DES ÉCARTS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ID</w:t>
            </w:r>
          </w:p>
        </w:tc>
        <w:tc>
          <w:tcPr>
            <w:tcW w:type="dxa" w:w="1728"/>
          </w:tcPr>
          <w:p>
            <w:r>
              <w:rPr>
                <w:b/>
                <w:sz w:val="22"/>
              </w:rPr>
              <w:t>Document source</w:t>
            </w:r>
          </w:p>
        </w:tc>
        <w:tc>
          <w:tcPr>
            <w:tcW w:type="dxa" w:w="1728"/>
          </w:tcPr>
          <w:p>
            <w:r>
              <w:rPr>
                <w:b/>
                <w:sz w:val="22"/>
              </w:rPr>
              <w:t>Écart</w:t>
            </w:r>
          </w:p>
        </w:tc>
        <w:tc>
          <w:tcPr>
            <w:tcW w:type="dxa" w:w="1728"/>
          </w:tcPr>
          <w:p>
            <w:r>
              <w:rPr>
                <w:b/>
                <w:sz w:val="22"/>
              </w:rPr>
              <w:t>Impact</w:t>
            </w:r>
          </w:p>
        </w:tc>
        <w:tc>
          <w:tcPr>
            <w:tcW w:type="dxa" w:w="1728"/>
          </w:tcPr>
          <w:p>
            <w:r>
              <w:rPr>
                <w:b/>
                <w:sz w:val="22"/>
              </w:rPr>
              <w:t>Action</w:t>
            </w:r>
          </w:p>
        </w:tc>
      </w:tr>
      <w:tr>
        <w:tc>
          <w:tcPr>
            <w:tcW w:type="dxa" w:w="1728"/>
          </w:tcPr>
          <w:p>
            <w:r>
              <w:rPr>
                <w:sz w:val="20"/>
              </w:rPr>
              <w:t>ANN-01</w:t>
            </w:r>
          </w:p>
        </w:tc>
        <w:tc>
          <w:tcPr>
            <w:tcW w:type="dxa" w:w="1728"/>
          </w:tcPr>
          <w:p>
            <w:r>
              <w:rPr>
                <w:sz w:val="20"/>
              </w:rPr>
              <w:t>01.4_DOC-ARCH-001_v2.1</w:t>
            </w:r>
          </w:p>
        </w:tc>
        <w:tc>
          <w:tcPr>
            <w:tcW w:type="dxa" w:w="1728"/>
          </w:tcPr>
          <w:p>
            <w:r>
              <w:rPr>
                <w:sz w:val="20"/>
              </w:rPr>
              <w:t>IP SRV2 = .50.2 (plan) vs .50.17 (réel)</w:t>
            </w:r>
          </w:p>
        </w:tc>
        <w:tc>
          <w:tcPr>
            <w:tcW w:type="dxa" w:w="1728"/>
          </w:tcPr>
          <w:p>
            <w:r>
              <w:rPr>
                <w:sz w:val="20"/>
              </w:rPr>
              <w:t>Moyen</w:t>
            </w:r>
          </w:p>
        </w:tc>
        <w:tc>
          <w:tcPr>
            <w:tcW w:type="dxa" w:w="1728"/>
          </w:tcPr>
          <w:p>
            <w:r>
              <w:rPr>
                <w:sz w:val="20"/>
              </w:rPr>
              <w:t>Mettre à jour v2.2 + exclure .50.17 DHCP</w:t>
            </w:r>
          </w:p>
        </w:tc>
      </w:tr>
      <w:tr>
        <w:tc>
          <w:tcPr>
            <w:tcW w:type="dxa" w:w="1728"/>
          </w:tcPr>
          <w:p>
            <w:r>
              <w:rPr>
                <w:sz w:val="20"/>
              </w:rPr>
              <w:t>ANN-02</w:t>
            </w:r>
          </w:p>
        </w:tc>
        <w:tc>
          <w:tcPr>
            <w:tcW w:type="dxa" w:w="1728"/>
          </w:tcPr>
          <w:p>
            <w:r>
              <w:rPr>
                <w:sz w:val="20"/>
              </w:rPr>
              <w:t>03.2_DOC-DOM-001_v1.1</w:t>
            </w:r>
          </w:p>
        </w:tc>
        <w:tc>
          <w:tcPr>
            <w:tcW w:type="dxa" w:w="1728"/>
          </w:tcPr>
          <w:p>
            <w:r>
              <w:rPr>
                <w:sz w:val="20"/>
              </w:rPr>
              <w:t>Phase 2 planifiée mais non exécutée</w:t>
            </w:r>
          </w:p>
        </w:tc>
        <w:tc>
          <w:tcPr>
            <w:tcW w:type="dxa" w:w="1728"/>
          </w:tcPr>
          <w:p>
            <w:r>
              <w:rPr>
                <w:sz w:val="20"/>
              </w:rPr>
              <w:t>Faible</w:t>
            </w:r>
          </w:p>
        </w:tc>
        <w:tc>
          <w:tcPr>
            <w:tcW w:type="dxa" w:w="1728"/>
          </w:tcPr>
          <w:p>
            <w:r>
              <w:rPr>
                <w:sz w:val="20"/>
              </w:rPr>
              <w:t>Valider PRQ-02/04, puis exécuter</w:t>
            </w:r>
          </w:p>
        </w:tc>
      </w:tr>
      <w:tr>
        <w:tc>
          <w:tcPr>
            <w:tcW w:type="dxa" w:w="1728"/>
          </w:tcPr>
          <w:p>
            <w:r>
              <w:rPr>
                <w:sz w:val="20"/>
              </w:rPr>
              <w:t>ANN-03</w:t>
            </w:r>
          </w:p>
        </w:tc>
        <w:tc>
          <w:tcPr>
            <w:tcW w:type="dxa" w:w="1728"/>
          </w:tcPr>
          <w:p>
            <w:r>
              <w:rPr>
                <w:sz w:val="20"/>
              </w:rPr>
              <w:t>05.1_DOC-SRV2-001_v1.0</w:t>
            </w:r>
          </w:p>
        </w:tc>
        <w:tc>
          <w:tcPr>
            <w:tcW w:type="dxa" w:w="1728"/>
          </w:tcPr>
          <w:p>
            <w:r>
              <w:rPr>
                <w:sz w:val="20"/>
              </w:rPr>
              <w:t>Déploiement bloqué erreur 0x80070057</w:t>
            </w:r>
          </w:p>
        </w:tc>
        <w:tc>
          <w:tcPr>
            <w:tcW w:type="dxa" w:w="1728"/>
          </w:tcPr>
          <w:p>
            <w:r>
              <w:rPr>
                <w:sz w:val="20"/>
              </w:rPr>
              <w:t>Moyen</w:t>
            </w:r>
          </w:p>
        </w:tc>
        <w:tc>
          <w:tcPr>
            <w:tcW w:type="dxa" w:w="1728"/>
          </w:tcPr>
          <w:p>
            <w:r>
              <w:rPr>
                <w:sz w:val="20"/>
              </w:rPr>
              <w:t>DISM en cours, doc incident 05.2 à créer</w:t>
            </w:r>
          </w:p>
        </w:tc>
      </w:tr>
    </w:tbl>
    <w:p>
      <w:pPr>
        <w:spacing w:after="120"/>
      </w:pPr>
      <w:r>
        <w:rPr>
          <w:b w:val="0"/>
          <w:i w:val="0"/>
          <w:sz w:val="22"/>
        </w:rPr>
      </w:r>
    </w:p>
    <w:p>
      <w:pPr>
        <w:pStyle w:val="Heading1"/>
        <w:jc w:val="left"/>
      </w:pPr>
      <w:r>
        <w:rPr>
          <w:b/>
          <w:color w:val="000000"/>
          <w:sz w:val="32"/>
        </w:rPr>
        <w:t>CONCLUSION</w:t>
      </w:r>
    </w:p>
    <w:p>
      <w:pPr>
        <w:spacing w:after="120"/>
      </w:pPr>
      <w:r>
        <w:rPr>
          <w:b w:val="0"/>
          <w:i w:val="0"/>
          <w:sz w:val="22"/>
        </w:rPr>
        <w:t>Ce document d'annotations établit la traçabilité entre la documentation d'architecture (v2.1) et l'état réel du lab au 2 août 2026. Trois écarts ont été identifiés, justifiés, et associés à des actions correctives. La règle d'or est respectée : aucune modification terrain sans documentation de suivi.</w:t>
      </w:r>
    </w:p>
    <w:p>
      <w:pPr>
        <w:spacing w:after="120"/>
      </w:pPr>
      <w:r>
        <w:rPr>
          <w:b/>
          <w:i w:val="0"/>
          <w:sz w:val="22"/>
        </w:rPr>
        <w:t>▸ Prochaines étapes</w:t>
      </w:r>
    </w:p>
    <w:p>
      <w:pPr>
        <w:pStyle w:val="ListBullet"/>
        <w:spacing w:after="80"/>
      </w:pPr>
      <w:r>
        <w:rPr>
          <w:b w:val="0"/>
          <w:sz w:val="22"/>
        </w:rPr>
        <w:t>Résoudre incident SRV2 (0x80070057) → document 05.2</w:t>
      </w:r>
    </w:p>
    <w:p>
      <w:pPr>
        <w:pStyle w:val="ListBullet"/>
        <w:spacing w:after="80"/>
      </w:pPr>
      <w:r>
        <w:rPr>
          <w:b w:val="0"/>
          <w:sz w:val="22"/>
        </w:rPr>
        <w:t>Valider PRQ-02 et PRQ-04 → exécuter Phase 2 (AD DS)</w:t>
      </w:r>
    </w:p>
    <w:p>
      <w:pPr>
        <w:pStyle w:val="ListBullet"/>
        <w:spacing w:after="80"/>
      </w:pPr>
      <w:r>
        <w:rPr>
          <w:b w:val="0"/>
          <w:sz w:val="22"/>
        </w:rPr>
        <w:t>Mettre à jour DOC-ARCH-001 → v2.2 avec IP SRV2 corrigée</w:t>
      </w:r>
    </w:p>
    <w:p>
      <w:pPr>
        <w:pStyle w:val="ListBullet"/>
        <w:spacing w:after="80"/>
      </w:pPr>
      <w:r>
        <w:rPr>
          <w:b w:val="0"/>
          <w:sz w:val="22"/>
        </w:rPr>
        <w:t>Poursuivre déploiement SRV2 avec failles volontaires configurées</w:t>
      </w:r>
    </w:p>
    <w:p>
      <w:r>
        <w:t>________________________________________________________________________________</w:t>
      </w:r>
    </w:p>
    <w:p>
      <w:pPr>
        <w:jc w:val="center"/>
      </w:pPr>
      <w:r>
        <w:rPr>
          <w:i/>
          <w:sz w:val="20"/>
        </w:rPr>
        <w:t>Document généré le 2 Août 2026 — Version 1.0</w:t>
        <w:br/>
        <w:t>Classification : Portfolio Professionnel — Reproduction interdite sans autorisation.</w:t>
        <w:br/>
        <w:t>Auteur : Malik Belkacemi — Architecte Réseau &amp; Virtualisation Senior</w:t>
        <w:br/>
        <w:t>Chemin cible : D:\Projet Lab-SRV1\01_Architecture_Reseau\01.5_ANNOTATIONS_Architecture_Corrections_Post-v2.1_v1.0.docx</w:t>
        <w:br/>
        <w:t>FIN DU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