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b/>
          <w:bCs/>
          <w:color w:val="1F3864"/>
          <w:sz w:val="44"/>
          <w:szCs w:val="44"/>
        </w:rPr>
        <w:t xml:space="preserve">JOURNAL DE BORD</w:t>
      </w:r>
    </w:p>
    <w:p>
      <w:pPr>
        <w:spacing w:after="40"/>
      </w:pPr>
      <w:r>
        <w:rPr>
          <w:color w:val="2E5395"/>
          <w:sz w:val="30"/>
          <w:szCs w:val="30"/>
        </w:rPr>
        <w:t xml:space="preserve">Lab Cybersécurité Hyper-V</w:t>
      </w:r>
    </w:p>
    <w:p>
      <w:pPr>
        <w:pBdr>
          <w:bottom w:val="single" w:color="2E5395" w:sz="6" w:space="8"/>
        </w:pBdr>
        <w:spacing w:after="300"/>
      </w:pPr>
      <w:r>
        <w:rPr>
          <w:i/>
          <w:iCs/>
          <w:color w:val="595959"/>
          <w:sz w:val="22"/>
          <w:szCs w:val="22"/>
        </w:rPr>
        <w:t xml:space="preserve">Durcissement firewall SRV1 &amp; déploiement WSUS</w:t>
      </w:r>
    </w:p>
    <w:p>
      <w:pPr>
        <w:spacing w:after="60"/>
      </w:pPr>
      <w:r>
        <w:rPr>
          <w:color w:val="595959"/>
          <w:sz w:val="20"/>
          <w:szCs w:val="20"/>
        </w:rPr>
        <w:t xml:space="preserve">Projet : DEP Soutien Informatique (EMICA) — Portfolio professionnel</w:t>
      </w:r>
    </w:p>
    <w:p>
      <w:pPr>
        <w:spacing w:after="60"/>
      </w:pPr>
      <w:r>
        <w:rPr>
          <w:color w:val="595959"/>
          <w:sz w:val="20"/>
          <w:szCs w:val="20"/>
        </w:rPr>
        <w:t xml:space="preserve">Date : 12 août 2026</w:t>
      </w:r>
    </w:p>
    <w:p>
      <w:pPr>
        <w:spacing w:after="400"/>
      </w:pPr>
      <w:r>
        <w:rPr>
          <w:color w:val="595959"/>
          <w:sz w:val="20"/>
          <w:szCs w:val="20"/>
        </w:rPr>
        <w:t xml:space="preserve">Machine concernée : SRV1 (Windows Server 2025 — 192.168.50.1)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Contexte et architecture</w:t>
      </w:r>
    </w:p>
    <w:p>
      <w:pPr>
        <w:spacing w:after="120"/>
      </w:pPr>
      <w:r>
        <w:rPr>
          <w:sz w:val="21"/>
          <w:szCs w:val="21"/>
        </w:rPr>
        <w:t xml:space="preserve">Laboratoire de cybersécurité personnel isolé, construit sur Hyper-V dans le cadre de la formation DEP Soutien Informatique (EMICA), à titre de portfolio professionnel. Approche méthodologique : audit avant action, snapshot avant tout changement risqué, capacité de rollback systématique, et documentation des écarts entre la documentation officielle et le comportement réel observé.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1.1 Réseau — double NAT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NAT 1 : ICS/SharedAccess de l'hôte Windows 11 → 192.168.137.0/24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NAT 2 : SRV1 via RRAS → 192.168.50.0/24 (LAN du lab)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vSwitch_WAN et vSwitch_LAN tous deux en mode Internal — hôte physique isolé du trafic du lab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1.2 Inventaire des machines virtuelles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rPr>
          <w:tblHeader/>
        </w:trPr>
        <w:tc>
          <w:tcPr>
            <w:tcW w:type="dxa" w:w="1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VM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2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  <w:tc>
          <w:tcPr>
            <w:tcW w:type="dxa" w:w="316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SRV1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Windows Server 2025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192.168.50.1 (LAN) / 192.168.137.x (WAN)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DC (à venir), DHCP, DNS, RRAS, WAC — « le cerveau »</w:t>
            </w:r>
          </w:p>
        </w:tc>
      </w:tr>
      <w:tr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SRV2 (Winserver2022)</w:t>
            </w:r>
          </w:p>
        </w:tc>
        <w:tc>
          <w:tcPr>
            <w:tcW w:type="dxa" w:w="24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Windows Server 2022 FR</w:t>
            </w:r>
          </w:p>
        </w:tc>
        <w:tc>
          <w:tcPr>
            <w:tcW w:type="dxa" w:w="22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192.168.50.17</w:t>
            </w:r>
          </w:p>
        </w:tc>
        <w:tc>
          <w:tcPr>
            <w:tcW w:type="dxa" w:w="31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Cible Red Team volontairement vulnérable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FedoraSec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Fedora Security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192.168.50.15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SIEM/Monitoring prévu</w:t>
            </w:r>
          </w:p>
        </w:tc>
      </w:tr>
      <w:tr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Parrot</w:t>
            </w:r>
          </w:p>
        </w:tc>
        <w:tc>
          <w:tcPr>
            <w:tcW w:type="dxa" w:w="24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Parrot Security</w:t>
            </w:r>
          </w:p>
        </w:tc>
        <w:tc>
          <w:tcPr>
            <w:tcW w:type="dxa" w:w="22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192.168.50.99</w:t>
            </w:r>
          </w:p>
        </w:tc>
        <w:tc>
          <w:tcPr>
            <w:tcW w:type="dxa" w:w="31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Poste d'attaque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Ubuntu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Ubuntu 22.04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192.168.50.10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Serveur web/BDD prévu</w:t>
            </w:r>
          </w:p>
        </w:tc>
      </w:tr>
      <w:tr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Win11</w:t>
            </w:r>
          </w:p>
        </w:tc>
        <w:tc>
          <w:tcPr>
            <w:tcW w:type="dxa" w:w="24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Windows 11 Pro</w:t>
            </w:r>
          </w:p>
        </w:tc>
        <w:tc>
          <w:tcPr>
            <w:tcW w:type="dxa" w:w="22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192.168.50.12</w:t>
            </w:r>
          </w:p>
        </w:tc>
        <w:tc>
          <w:tcPr>
            <w:tcW w:type="dxa" w:w="31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Poste client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Durcissement du pare-feu de SRV1</w:t>
      </w:r>
    </w:p>
    <w:p>
      <w:pPr>
        <w:spacing w:after="120"/>
      </w:pPr>
      <w:r>
        <w:rPr>
          <w:sz w:val="21"/>
          <w:szCs w:val="21"/>
        </w:rPr>
        <w:t xml:space="preserve">Objectif : SRV1 (« le cerveau » du lab) doit être totalement inattaquable depuis les VMs du LAN, y compris depuis SRV2 en cas de compromission, tout en restant pleinement fonctionnel comme fournisseur DHCP/DNS/RRAS/WAC.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2.1 Constat de l'audit</w:t>
      </w:r>
    </w:p>
    <w:p>
      <w:pPr>
        <w:spacing w:after="120"/>
      </w:pPr>
      <w:r>
        <w:rPr>
          <w:sz w:val="21"/>
          <w:szCs w:val="21"/>
        </w:rPr>
        <w:t xml:space="preserve">Les profils de pare-feu (Domain, Private, Public) avaient déjà une politique par défaut Block Inbound, en place avant cette session. Cependant, des règles Windows natives en Allow explicite outrepassaient ce blocage par défaut : dans le modèle du pare-feu Windows, une règle Allow explicite est toujours prioritaire sur la politique DefaultInboundAction: Block, quel que soit le profil actif. Chaque service ouvert par une règle native devait donc être identifié et désactivé individuellement.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2.2 Règles désactivées (Disable-NetFirewallRule)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60"/>
        <w:gridCol w:w="3000"/>
      </w:tblGrid>
      <w:tr>
        <w:trPr>
          <w:tblHeader/>
        </w:trPr>
        <w:tc>
          <w:tcPr>
            <w:tcW w:type="dxa" w:w="1600"/>
            <w:shd w:fill="B0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Groupe</w:t>
            </w:r>
          </w:p>
        </w:tc>
        <w:tc>
          <w:tcPr>
            <w:tcW w:type="dxa" w:w="4760"/>
            <w:shd w:fill="B0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Règle(s) désactivée(s)</w:t>
            </w:r>
          </w:p>
        </w:tc>
        <w:tc>
          <w:tcPr>
            <w:tcW w:type="dxa" w:w="3000"/>
            <w:shd w:fill="B0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Effet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RDP</w:t>
            </w:r>
          </w:p>
        </w:tc>
        <w:tc>
          <w:tcPr>
            <w:tcW w:type="dxa" w:w="4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RemoteDesktop-Shadow-In-TCP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RemoteDesktop-UserMode-In-TCP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RemoteDesktop-UserMode-In-UDP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Bureau à distance fermé</w:t>
            </w:r>
          </w:p>
        </w:tc>
      </w:tr>
      <w:tr>
        <w:tc>
          <w:tcPr>
            <w:tcW w:type="dxa" w:w="1600"/>
            <w:shd w:fill="FDED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WinRM</w:t>
            </w:r>
          </w:p>
        </w:tc>
        <w:tc>
          <w:tcPr>
            <w:tcW w:type="dxa" w:w="4760"/>
            <w:shd w:fill="FDED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WINRM-HTTP-In-TCP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WINRM-HTTP-In-TCP-PUBLIC</w:t>
            </w:r>
          </w:p>
        </w:tc>
        <w:tc>
          <w:tcPr>
            <w:tcW w:type="dxa" w:w="3000"/>
            <w:shd w:fill="FDED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Gestion à distance PowerShell fermée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SMB</w:t>
            </w:r>
          </w:p>
        </w:tc>
        <w:tc>
          <w:tcPr>
            <w:tcW w:type="dxa" w:w="4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Microsoft-Windows-RemoteAccess-NP-In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File and Printer Sharing SMB-In Restrictive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FileServer-ServerManager-SMB-TCP-In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Partage de fichiers / admin distant fermé</w:t>
            </w:r>
          </w:p>
        </w:tc>
      </w:tr>
      <w:tr>
        <w:tc>
          <w:tcPr>
            <w:tcW w:type="dxa" w:w="1600"/>
            <w:shd w:fill="FDED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IIS</w:t>
            </w:r>
          </w:p>
        </w:tc>
        <w:tc>
          <w:tcPr>
            <w:tcW w:type="dxa" w:w="4760"/>
            <w:shd w:fill="FDED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World Wide Web Services — QUIC / HTTPS / HTTP Traffic-In</w:t>
            </w:r>
          </w:p>
        </w:tc>
        <w:tc>
          <w:tcPr>
            <w:tcW w:type="dxa" w:w="3000"/>
            <w:shd w:fill="FDED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Serveur web fermé (non utilisé)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DCOM/WMI</w:t>
            </w:r>
          </w:p>
        </w:tc>
        <w:tc>
          <w:tcPr>
            <w:tcW w:type="dxa" w:w="4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Windows Management Instrumentation (DCOM-In)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File Server Remote Management (DCOM-In)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Administration distante WMI fermée</w:t>
            </w:r>
          </w:p>
        </w:tc>
      </w:tr>
      <w:tr>
        <w:tc>
          <w:tcPr>
            <w:tcW w:type="dxa" w:w="1600"/>
            <w:shd w:fill="FDED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SSH</w:t>
            </w:r>
          </w:p>
        </w:tc>
        <w:tc>
          <w:tcPr>
            <w:tcW w:type="dxa" w:w="4760"/>
            <w:shd w:fill="FDED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OpenSSH SSH Server (sshd)</w:t>
            </w:r>
          </w:p>
        </w:tc>
        <w:tc>
          <w:tcPr>
            <w:tcW w:type="dxa" w:w="3000"/>
            <w:shd w:fill="FDED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SSH fermé (non utilisé)</w:t>
            </w:r>
          </w:p>
        </w:tc>
      </w:tr>
    </w:tbl>
    <w:p>
      <w:pPr>
        <w:spacing w:after="160" w:before="160"/>
      </w:pPr>
      <w:r>
        <w:rPr>
          <w:b/>
          <w:bCs/>
          <w:sz w:val="21"/>
          <w:szCs w:val="21"/>
        </w:rPr>
        <w:t xml:space="preserve">Exception conservée : </w:t>
      </w:r>
      <w:r>
        <w:rPr>
          <w:sz w:val="21"/>
          <w:szCs w:val="21"/>
        </w:rPr>
        <w:t xml:space="preserve">la règle Microsoft-Windows-DHCP-SMB-TCP-In a été laissée active — il s'agit d'une dépendance interne du rôle DHCP, non d'un vecteur d'exposition équivalent aux autres règles SMB.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2.3 État final du pare-feu SRV1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État</w:t>
            </w:r>
          </w:p>
        </w:tc>
        <w:tc>
          <w:tcPr>
            <w:tcW w:type="dxa" w:w="736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Fermés</w:t>
            </w:r>
          </w:p>
        </w:tc>
        <w:tc>
          <w:tcPr>
            <w:tcW w:type="dxa" w:w="7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RDP, WinRM, SMB (partage/admin), IIS (HTTP/HTTPS/QUIC), DCOM/WMI distant, OpenSSH</w:t>
            </w:r>
          </w:p>
        </w:tc>
      </w:tr>
      <w:tr>
        <w:tc>
          <w:tcPr>
            <w:tcW w:type="dxa" w:w="2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Ouverts</w:t>
            </w:r>
          </w:p>
        </w:tc>
        <w:tc>
          <w:tcPr>
            <w:tcW w:type="dxa" w:w="73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WAC (scopé LAN 192.168.50.0/24 uniquement), DHCP, DNS, RRAS/NAT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La règle WAC (LAB-SRV1 WAC Inbound TCP LAN-only) est scopée au sous-réseau 192.168.50.0/24 uniquement, empêchant tout accès depuis le WAN ou l'extérieur du LAN.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2.4 Points restants à vérifier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Documenter formellement ces changements dans le journal de bord principal du lab (en cours avec ce document)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Vérifier isolément le port 139 (NetBIOS) — les ports 135 et 139 ont été audités conjointement lors de cette session ; seul DCOM en est ressorti comme actif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Déploiement du rôle WSUS sur SRV1</w:t>
      </w:r>
    </w:p>
    <w:p>
      <w:pPr>
        <w:spacing w:after="120"/>
      </w:pPr>
      <w:r>
        <w:rPr>
          <w:sz w:val="21"/>
          <w:szCs w:val="21"/>
        </w:rPr>
        <w:t xml:space="preserve">Trois rôles candidats ont été envisagés pour SRV1 : IPAM, NPS et WSUS. WSUS a été retenu comme le plus simple et le plus rapide à déployer via l'interface graphique (Add Roles and Features Wizard).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3.1 Étapes du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60"/>
        <w:gridCol w:w="5000"/>
      </w:tblGrid>
      <w:tr>
        <w:trPr>
          <w:tblHeader/>
        </w:trPr>
        <w:tc>
          <w:tcPr>
            <w:tcW w:type="dxa" w:w="7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6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5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Détail / choix retenu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Installation Type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Role-based or feature-based installation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Server Selection</w:t>
            </w:r>
          </w:p>
        </w:tc>
        <w:tc>
          <w:tcPr>
            <w:tcW w:type="dxa" w:w="5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SRV1 sélectionné comme serveur destination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Server Roles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WSUS coché ; dépendances ajoutées automatiquement (IIS, .NET Framework 4.8, WID, outils RSAT)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Features</w:t>
            </w:r>
          </w:p>
        </w:tc>
        <w:tc>
          <w:tcPr>
            <w:tcW w:type="dxa" w:w="5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Aucune fonctionnalité additionnelle cochée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Role Services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WID Connectivity + WSUS Services cochés (Windows Internal Database — pas de SQL Server séparé, suffisant pour un lab)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Content location</w:t>
            </w:r>
          </w:p>
        </w:tc>
        <w:tc>
          <w:tcPr>
            <w:tcW w:type="dxa" w:w="5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Stockage local des mises à jour : C:\WSUS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Avertissement de redémarrage en attente (KB .NET Framework, sans lien avec WSUS) — installation lancée malgré tout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6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Installation</w:t>
            </w:r>
          </w:p>
        </w:tc>
        <w:tc>
          <w:tcPr>
            <w:tcW w:type="dxa" w:w="5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 cours au moment de la rédaction : configuration IIS puis WSUS Services / WID Connectivity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3.2 Détails techniques du choix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Base de données : Windows Internal Database (WID) — pas de serveur SQL Server dédié, choix adapté à un environnement de lab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Stockage des mises à jour : C:\WSUS (chemin local sur SRV1)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Composants installés automatiquement en dépendance : IIS (rôle Web Server), .NET Framework 4.8 (ASP.NET 4.8, WCF Services, HTTP Activation), Windows Process Activation Service, outils d'administration RSAT (WSUS Tools, cmdlets PowerShell, console de gestion)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3.3 État au moment de la rédaction</w:t>
      </w:r>
    </w:p>
    <w:p>
      <w:pPr>
        <w:spacing w:after="120"/>
      </w:pPr>
      <w:r>
        <w:rPr>
          <w:sz w:val="21"/>
          <w:szCs w:val="21"/>
        </w:rPr>
        <w:t xml:space="preserve">L'installation est en cours d'exécution (configuration d'IIS puis des services WSUS/WID). Un redémarrage était déjà en attente avant le lancement de cette installation (KB5120708 — mise à jour de sécurité .NET Framework), sans lien avec le déploiement WSUS ; il devra être traité une fois l'installation terminée.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3.4 Étapes suivantes (à réaliser)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Fin de l'installation → fermeture du wizard (Close)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Exécution des Post-Installation tasks WSUS (obligatoire, lancée depuis Server Manager avant toute utilisation)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Configuration initiale : sélection des produits et classifications à synchroniser, langues, planification de synchronisation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Traitement du redémarrage en attente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Suite installation WSUS — post-déploiement</w:t>
      </w:r>
    </w:p>
    <w:p>
      <w:pPr>
        <w:spacing w:after="120"/>
      </w:pPr>
      <w:r>
        <w:rPr>
          <w:sz w:val="21"/>
          <w:szCs w:val="21"/>
        </w:rPr>
        <w:t xml:space="preserve">Après la fin du wizard (Installation succeeded on Srv1), les Post-Installation tasks se sont lancées automatiquement depuis Server Manager. Le rôle WSUS est apparu dans le menu de navigation et dans la liste des rôles (Roles: 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Post-deployment Configuration : statut passé de « Running » à « Configuration completed for Windows Server Update Services at SRV1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Deux entrées dans les Events au moment du post-deployment : ID 13051 (Warning) et ID 13042 (Error), source Windows Server Update Services, horodatées 3:19:57 AM — à investiguer avant la configuration initiale (produits/classifications)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Un redémarrage était déjà en attente avant l'installation WSUS (KB5120708 .NET Framework) ; une seconde mise à jour (KB5120233) était en cours d'installation au même moment — le redémarrage a été volontairement reporté pour ne pas interrompre cette installation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Configuration initiale de WSUS (Getting Started Wizard : produits, classifications, langues, planification de synchronisation) non encore réalisée — en attente de la fin des mises à jour Windows et du redémarrage de SRV1.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Décision — rôle supplémentaire pour SRV1</w:t>
      </w:r>
    </w:p>
    <w:p>
      <w:pPr>
        <w:spacing w:after="120"/>
      </w:pPr>
      <w:r>
        <w:rPr>
          <w:sz w:val="21"/>
          <w:szCs w:val="21"/>
        </w:rPr>
        <w:t xml:space="preserve">Rôles envisagés en complément (NPS, IPAM, AD CS, FSRM, Windows Server Backup) pour renforcer SRV1 sans dépendre d'Active Directory. Windows Server Backup retenu comme candidat le plus pertinent : installation rapide en GUI, aucune dépendance lourde, et répond à un besoin concret — pouvoir restaurer SRV1 rapidement s'il est affecté pendant les tests Red Team menés depuis Parrot/SRV2.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Décision finale et installation non encore réalisées à la coupure de cette session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Règle du projet</w:t>
      </w:r>
    </w:p>
    <w:p>
      <w:pPr>
        <w:pBdr>
          <w:left w:val="single" w:color="B00020" w:sz="24" w:space="8"/>
        </w:pBdr>
        <w:shd w:fill="FDEDEE" w:val="clear"/>
        <w:spacing w:after="160" w:before="80"/>
      </w:pPr>
      <w:r>
        <w:rPr>
          <w:i/>
          <w:iCs/>
          <w:sz w:val="20"/>
          <w:szCs w:val="20"/>
        </w:rPr>
        <w:t xml:space="preserve">Aucun exploit, malware ou modèle IA orienté offensive security pure (ex. WhiteRabbitNeo, modèles « abliterated » pour le hacking) n'est développé ou assisté dans le cadre de ce projet. L'objectif est de comprendre les mécanismes de sécurité et de durcir/configurer les systèmes, non de générer des outils d'attaque.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2026-08-12T07:30:34.094Z</dcterms:created>
  <dcterms:modified xsi:type="dcterms:W3CDTF">2026-08-12T07:30:34.109Z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