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SRV1 — DURCISSEMENT PARE-FEU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Journal de bord — Phase 1 (Firewall)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v3 — 31 juillet 2026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Auteur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Malik Belkacemi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Machine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SRV1 (VM Windows Server 2025 Standard, Desktop Experience)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Statut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Pare-feu durci et validé (7/7 tests). AD DS, IIS, WAC : à venir.</w:t>
            </w:r>
          </w:p>
        </w:tc>
      </w:tr>
    </w:tbl>
    <w:p>
      <w:pPr>
        <w:pStyle w:val="Heading1"/>
        <w:spacing w:after="150" w:before="300"/>
      </w:pPr>
      <w:r>
        <w:t xml:space="preserve">1. Objectif de cette phase</w:t>
      </w:r>
    </w:p>
    <w:p>
      <w:pPr>
        <w:spacing w:after="100"/>
      </w:pPr>
      <w:r>
        <w:t xml:space="preserve">Durcir le pare-feu de SRV1 pour isoler totalement l'hôte physique (laptop) du lab, tout en gardant les services essentiels (DHCP, DNS, RRAS) fonctionnels pour les VMs du LAN.</w:t>
      </w:r>
    </w:p>
    <w:p>
      <w:pPr>
        <w:pStyle w:val="Heading1"/>
        <w:spacing w:after="150" w:before="300"/>
      </w:pPr>
      <w:r>
        <w:t xml:space="preserve">2. Ce qu'on a découvert (audit avant action)</w:t>
      </w:r>
    </w:p>
    <w:p>
      <w:pPr>
        <w:spacing w:after="100"/>
      </w:pPr>
      <w:r>
        <w:t xml:space="preserve">Avant de lancer le script de durcissement, un audit réseau a été fait sur l'hôte et sur SRV1. Il a révélé plusieurs écarts entre la documentation existante et la réalité 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 vSwitch_WAN est de type Internal (pas External comme documenté), et utilise le service ICS/SharedAccess de Windows — plage réelle 192.168.137.0/24, pas 192.168.1.0/24.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SRV1 n'a PAS de contrôleur de domaine actif (AD DS non installé), malgré une documentation antérieure qui le présentait comme un DC opérationnel.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IIS (Web-Server) et Windows Admin Center sont installés sur SRV1 sans avoir jamais été documentés.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 script de durcissement lui-même (IPs hôte 192.168.137.1 et 10.0.0.0/24) s'est avéré correct — c'est la documentation d'architecture qui était fausse sur ce point.</w:t>
      </w:r>
    </w:p>
    <w:p>
      <w:pPr>
        <w:spacing w:after="100"/>
      </w:pPr>
      <w:r>
        <w:t xml:space="preserve">Leçon retenue : auditer avant de documenter, pas l'inverse. La documentation sera reconstruite en version 4 sur la base de l'état réel confirmé.</w:t>
      </w:r>
    </w:p>
    <w:p>
      <w:pPr>
        <w:pStyle w:val="Heading1"/>
        <w:spacing w:after="150" w:before="300"/>
      </w:pPr>
      <w:r>
        <w:t xml:space="preserve">3. Action réalisée</w:t>
      </w:r>
    </w:p>
    <w:p>
      <w:pPr>
        <w:spacing w:after="100"/>
      </w:pPr>
      <w:r>
        <w:t xml:space="preserve">Exécution du script 06-Durcissement-SRV1-Strategique_v3.ps1 sur SRV1, le 31 juillet 2026.</w:t>
      </w:r>
    </w:p>
    <w:p>
      <w:pPr>
        <w:pStyle w:val="Heading2"/>
        <w:spacing w:after="100" w:before="200"/>
      </w:pPr>
      <w:r>
        <w:t xml:space="preserve">3.1 Changements appliqués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Politique pare-feu : Block Inbound / Allow Outbound sur tous les profils (Domain, Private, Public).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ICMPv4 autorisé uniquement depuis le LAN (192.168.50.0/24).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Hôte physique bloqué en entrée : 192.168.137.1 et 10.0.0.0/24 (Wi-Fi hôte).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Ports bloqués en entrée : RDP (3389), WinRM (5985/5986), SMB (445), NetBIOS (137/138/139).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Sauvegarde automatique avant/après (fichiers .wfw) dans Desktop\SRV1-Hardening-Backups (SRV1 n'a pas de lecteur D:).</w:t>
      </w:r>
    </w:p>
    <w:p>
      <w:pPr>
        <w:pStyle w:val="Heading2"/>
        <w:spacing w:after="100" w:before="200"/>
      </w:pPr>
      <w:r>
        <w:t xml:space="preserve">3.2 Résultats des tests (7/7 réussis)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dxa" w:w="6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Résultat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1. Politique Block Inbound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2. Hôte bloqué (192.168.137.1)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3. RDP bloqué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4. WinRM bloqué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5. SMB bloqué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OK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6. IIS (port 80) — informatif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Filtré depuis le LAN (IIS pas encore officialisé)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7. DHCP/DNS toujours actifs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OK — pas de régression</w:t>
            </w:r>
          </w:p>
        </w:tc>
      </w:tr>
    </w:tbl>
    <w:p>
      <w:pPr>
        <w:spacing w:after="100"/>
      </w:pPr>
      <w:r>
        <w:t xml:space="preserve">Aucun rollback déclenché.</w:t>
      </w:r>
    </w:p>
    <w:p>
      <w:pPr>
        <w:pStyle w:val="Heading1"/>
        <w:spacing w:after="150" w:before="300"/>
      </w:pPr>
      <w:r>
        <w:t xml:space="preserve">4. Problème détecté après coup et correction décidée</w:t>
      </w:r>
    </w:p>
    <w:p>
      <w:pPr>
        <w:spacing w:after="100"/>
      </w:pPr>
      <w:r>
        <w:t xml:space="preserve">Un partage SMB de test (C:\Lab-share) avait été créé sur SRV1 pour Win10/Win11 avant le durcissement. La règle Block SMB le rend inaccessible depuis le LAN.</w:t>
      </w:r>
    </w:p>
    <w:p>
      <w:pPr>
        <w:pStyle w:val="Heading2"/>
        <w:spacing w:after="100" w:before="200"/>
      </w:pPr>
      <w:r>
        <w:t xml:space="preserve">4.1 Décision</w:t>
      </w:r>
    </w:p>
    <w:p>
      <w:pPr>
        <w:spacing w:after="100"/>
      </w:pPr>
      <w:r>
        <w:t xml:space="preserve">Le partage ne sera PAS ré-autorisé sur SRV1, même restreint au LAN. SRV1 est le cœur du lab (DHCP/DNS/RRAS) et ne doit porter aucun service optionnel exposé — même en interne — pour rester une cible minimale.</w:t>
      </w:r>
    </w:p>
    <w:p>
      <w:pPr>
        <w:spacing w:after="100"/>
      </w:pPr>
      <w:r>
        <w:t xml:space="preserve">Le partage de fichiers sera migré vers une VM serveur dédiée (candidat retenu : Ubuntu, déjà prévue comme serveur applicatif dans l'architecture). Cette VM absorbera le risque fonctionnel, SRV1 reste fermé en entrée.</w:t>
      </w:r>
    </w:p>
    <w:p>
      <w:pPr>
        <w:pStyle w:val="Heading1"/>
        <w:spacing w:after="150" w:before="300"/>
      </w:pPr>
      <w:r>
        <w:t xml:space="preserve">5. Prochaines étapes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Déployer le partage de fichiers sur une VM Linux séparée (Samba).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Installer AD DS sur SRV1, puis évaluer si un re-durcissement du pare-feu est nécessaire.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Officialiser IIS et Windows Admin Center (règles firewall dédiées, scope LAN uniquement) si leur usage est confirmé.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Réécrire la documentation d'architecture (v4) sur la base de l'état réel confirmé par audit.</w:t>
      </w:r>
    </w:p>
    <w:p>
      <w:pPr>
        <w:pStyle w:val="Heading1"/>
        <w:spacing w:after="150" w:before="300"/>
      </w:pPr>
      <w:r>
        <w:t xml:space="preserve">6. Bilan</w:t>
      </w:r>
    </w:p>
    <w:p>
      <w:pPr>
        <w:spacing w:after="100"/>
      </w:pPr>
      <w:r>
        <w:t xml:space="preserve">Points forts : audit systématique avant toute action destructive, rollback automatique en place, détection proactive du conflit SMB, refus d'ouvrir un port sur SRV1 par simple commodité.</w:t>
      </w:r>
    </w:p>
    <w:p>
      <w:pPr>
        <w:spacing w:after="100"/>
      </w:pPr>
      <w:r>
        <w:t xml:space="preserve">Points à corriger : documenter au fil de l'eau (changelog) plutôt qu'après coup, pour éviter les écarts doc/réalité comme ceux détectés cette phase-ci.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2026-08-01T02:26:04.973Z</dcterms:created>
  <dcterms:modified xsi:type="dcterms:W3CDTF">2026-08-01T02:26:04.997Z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