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EED" w:rsidRPr="003C0FFA" w:rsidRDefault="003C0FFA" w:rsidP="003C0FFA">
      <w:pPr>
        <w:jc w:val="center"/>
        <w:rPr>
          <w:sz w:val="32"/>
        </w:rPr>
      </w:pPr>
      <w:r w:rsidRPr="003C0FFA">
        <w:rPr>
          <w:sz w:val="32"/>
        </w:rPr>
        <w:t>Контрольная работа.</w:t>
      </w:r>
    </w:p>
    <w:p w:rsidR="003C0FFA" w:rsidRPr="003C0FFA" w:rsidRDefault="003C0FFA" w:rsidP="003C0FFA">
      <w:pPr>
        <w:jc w:val="center"/>
        <w:rPr>
          <w:sz w:val="32"/>
        </w:rPr>
      </w:pPr>
      <w:r w:rsidRPr="003C0FFA">
        <w:rPr>
          <w:sz w:val="32"/>
        </w:rPr>
        <w:t>Вариант 1.</w:t>
      </w:r>
    </w:p>
    <w:p w:rsidR="003C0FFA" w:rsidRDefault="003C0FFA" w:rsidP="003C0FFA">
      <w:pPr>
        <w:pStyle w:val="a3"/>
        <w:numPr>
          <w:ilvl w:val="0"/>
          <w:numId w:val="1"/>
        </w:numPr>
        <w:shd w:val="clear" w:color="auto" w:fill="FFFFFF"/>
        <w:rPr>
          <w:rFonts w:ascii="Verdana" w:hAnsi="Verdana"/>
          <w:i/>
          <w:iCs/>
          <w:color w:val="000000"/>
        </w:rPr>
      </w:pPr>
      <w:r w:rsidRPr="003C0FFA">
        <w:rPr>
          <w:rFonts w:asciiTheme="minorHAnsi" w:hAnsiTheme="minorHAnsi" w:cstheme="minorHAnsi"/>
          <w:color w:val="000000"/>
          <w:sz w:val="28"/>
        </w:rPr>
        <w:t>Если дисперсии </w:t>
      </w:r>
      <w:r w:rsidRPr="003C0FFA">
        <w:rPr>
          <w:rFonts w:asciiTheme="minorHAnsi" w:hAnsiTheme="minorHAnsi" w:cstheme="minorHAnsi"/>
          <w:i/>
          <w:iCs/>
          <w:color w:val="000000"/>
          <w:sz w:val="28"/>
        </w:rPr>
        <w:t>n</w:t>
      </w:r>
      <w:r w:rsidRPr="003C0FFA">
        <w:rPr>
          <w:rFonts w:asciiTheme="minorHAnsi" w:hAnsiTheme="minorHAnsi" w:cstheme="minorHAnsi"/>
          <w:color w:val="000000"/>
          <w:sz w:val="28"/>
        </w:rPr>
        <w:t> независимых случайных величин Х1, Х</w:t>
      </w:r>
      <w:proofErr w:type="gramStart"/>
      <w:r w:rsidRPr="003C0FFA">
        <w:rPr>
          <w:rFonts w:asciiTheme="minorHAnsi" w:hAnsiTheme="minorHAnsi" w:cstheme="minorHAnsi"/>
          <w:color w:val="000000"/>
          <w:sz w:val="28"/>
        </w:rPr>
        <w:t>2,…</w:t>
      </w:r>
      <w:proofErr w:type="gramEnd"/>
      <w:r w:rsidRPr="003C0FFA">
        <w:rPr>
          <w:rFonts w:asciiTheme="minorHAnsi" w:hAnsiTheme="minorHAnsi" w:cstheme="minorHAnsi"/>
          <w:color w:val="000000"/>
          <w:sz w:val="28"/>
        </w:rPr>
        <w:t xml:space="preserve">. </w:t>
      </w:r>
      <w:proofErr w:type="spellStart"/>
      <w:r w:rsidRPr="003C0FFA">
        <w:rPr>
          <w:rFonts w:asciiTheme="minorHAnsi" w:hAnsiTheme="minorHAnsi" w:cstheme="minorHAnsi"/>
          <w:color w:val="000000"/>
          <w:sz w:val="28"/>
        </w:rPr>
        <w:t>Х</w:t>
      </w:r>
      <w:r w:rsidRPr="003C0FFA">
        <w:rPr>
          <w:rFonts w:asciiTheme="minorHAnsi" w:hAnsiTheme="minorHAnsi" w:cstheme="minorHAnsi"/>
          <w:i/>
          <w:iCs/>
          <w:color w:val="000000"/>
          <w:sz w:val="28"/>
        </w:rPr>
        <w:t>n</w:t>
      </w:r>
      <w:proofErr w:type="spellEnd"/>
      <w:r w:rsidRPr="003C0FFA">
        <w:rPr>
          <w:rFonts w:asciiTheme="minorHAnsi" w:hAnsiTheme="minorHAnsi" w:cstheme="minorHAnsi"/>
          <w:i/>
          <w:iCs/>
          <w:color w:val="000000"/>
          <w:sz w:val="28"/>
        </w:rPr>
        <w:t> </w:t>
      </w:r>
      <w:r w:rsidRPr="003C0FFA">
        <w:rPr>
          <w:rFonts w:asciiTheme="minorHAnsi" w:hAnsiTheme="minorHAnsi" w:cstheme="minorHAnsi"/>
          <w:color w:val="000000"/>
          <w:sz w:val="28"/>
        </w:rPr>
        <w:t>ограничены одной и той же постоянной, то при неограниченном увеличении числа </w:t>
      </w:r>
      <w:r w:rsidRPr="003C0FFA">
        <w:rPr>
          <w:rFonts w:asciiTheme="minorHAnsi" w:hAnsiTheme="minorHAnsi" w:cstheme="minorHAnsi"/>
          <w:i/>
          <w:iCs/>
          <w:color w:val="000000"/>
          <w:sz w:val="28"/>
        </w:rPr>
        <w:t>n </w:t>
      </w:r>
      <w:r w:rsidRPr="003C0FFA">
        <w:rPr>
          <w:rFonts w:asciiTheme="minorHAnsi" w:hAnsiTheme="minorHAnsi" w:cstheme="minorHAnsi"/>
          <w:color w:val="000000"/>
          <w:sz w:val="28"/>
        </w:rPr>
        <w:t>средняя арифметическая случайных величин сходится по вероятности к средней арифметической их математических</w:t>
      </w:r>
      <w:r w:rsidRPr="003C0FFA">
        <w:rPr>
          <w:rFonts w:ascii="Verdana" w:hAnsi="Verdana"/>
          <w:color w:val="000000"/>
          <w:sz w:val="28"/>
        </w:rPr>
        <w:t xml:space="preserve"> </w:t>
      </w:r>
      <w:r>
        <w:rPr>
          <w:rFonts w:ascii="Verdana" w:hAnsi="Verdana"/>
          <w:color w:val="000000"/>
        </w:rPr>
        <w:t xml:space="preserve">ожиданий </w:t>
      </w:r>
      <w:r w:rsidRPr="003C0FFA">
        <w:rPr>
          <w:rFonts w:asciiTheme="minorHAnsi" w:hAnsiTheme="minorHAnsi" w:cstheme="minorHAnsi"/>
          <w:color w:val="000000"/>
          <w:sz w:val="28"/>
        </w:rPr>
        <w:t>а</w:t>
      </w:r>
      <w:r w:rsidRPr="003C0FFA">
        <w:rPr>
          <w:rFonts w:asciiTheme="minorHAnsi" w:hAnsiTheme="minorHAnsi" w:cstheme="minorHAnsi"/>
          <w:color w:val="000000"/>
          <w:sz w:val="28"/>
          <w:vertAlign w:val="subscript"/>
        </w:rPr>
        <w:t>1</w:t>
      </w:r>
      <w:r w:rsidRPr="003C0FFA">
        <w:rPr>
          <w:rFonts w:asciiTheme="minorHAnsi" w:hAnsiTheme="minorHAnsi" w:cstheme="minorHAnsi"/>
          <w:color w:val="000000"/>
          <w:sz w:val="28"/>
        </w:rPr>
        <w:t>,а</w:t>
      </w:r>
      <w:r w:rsidRPr="003C0FFA">
        <w:rPr>
          <w:rFonts w:asciiTheme="minorHAnsi" w:hAnsiTheme="minorHAnsi" w:cstheme="minorHAnsi"/>
          <w:color w:val="000000"/>
          <w:sz w:val="28"/>
          <w:vertAlign w:val="subscript"/>
        </w:rPr>
        <w:t>2</w:t>
      </w:r>
      <w:r w:rsidRPr="003C0FFA">
        <w:rPr>
          <w:rFonts w:asciiTheme="minorHAnsi" w:hAnsiTheme="minorHAnsi" w:cstheme="minorHAnsi"/>
          <w:color w:val="000000"/>
          <w:sz w:val="28"/>
        </w:rPr>
        <w:t>….,</w:t>
      </w:r>
      <w:proofErr w:type="spellStart"/>
      <w:r w:rsidRPr="003C0FFA">
        <w:rPr>
          <w:rFonts w:asciiTheme="minorHAnsi" w:hAnsiTheme="minorHAnsi" w:cstheme="minorHAnsi"/>
          <w:color w:val="000000"/>
          <w:sz w:val="28"/>
        </w:rPr>
        <w:t>а</w:t>
      </w:r>
      <w:r w:rsidRPr="003C0FFA">
        <w:rPr>
          <w:rFonts w:asciiTheme="minorHAnsi" w:hAnsiTheme="minorHAnsi" w:cstheme="minorHAnsi"/>
          <w:i/>
          <w:iCs/>
          <w:color w:val="000000"/>
          <w:sz w:val="28"/>
          <w:vertAlign w:val="subscript"/>
        </w:rPr>
        <w:t>n</w:t>
      </w:r>
      <w:proofErr w:type="spellEnd"/>
      <w:r w:rsidRPr="003C0FFA">
        <w:rPr>
          <w:rFonts w:asciiTheme="minorHAnsi" w:hAnsiTheme="minorHAnsi" w:cstheme="minorHAnsi"/>
          <w:i/>
          <w:iCs/>
          <w:color w:val="000000"/>
          <w:sz w:val="28"/>
        </w:rPr>
        <w:t xml:space="preserve">, </w:t>
      </w:r>
      <w:proofErr w:type="spellStart"/>
      <w:r w:rsidRPr="003C0FFA">
        <w:rPr>
          <w:rFonts w:asciiTheme="minorHAnsi" w:hAnsiTheme="minorHAnsi" w:cstheme="minorHAnsi"/>
          <w:i/>
          <w:iCs/>
          <w:color w:val="000000"/>
          <w:sz w:val="28"/>
        </w:rPr>
        <w:t>т.е</w:t>
      </w:r>
      <w:proofErr w:type="spellEnd"/>
      <w:r w:rsidRPr="003C0FFA">
        <w:rPr>
          <w:rFonts w:ascii="Verdana" w:hAnsi="Verdana"/>
          <w:i/>
          <w:iCs/>
          <w:color w:val="000000"/>
          <w:sz w:val="28"/>
        </w:rPr>
        <w:t> </w:t>
      </w:r>
      <w:r>
        <w:rPr>
          <w:rFonts w:ascii="Verdana" w:hAnsi="Verdana"/>
          <w:i/>
          <w:iCs/>
          <w:noProof/>
          <w:color w:val="000000"/>
        </w:rPr>
        <w:drawing>
          <wp:inline distT="0" distB="0" distL="0" distR="0">
            <wp:extent cx="2647950" cy="704850"/>
            <wp:effectExtent l="0" t="0" r="0" b="0"/>
            <wp:docPr id="2" name="Рисунок 2" descr="http://konspekta.net/megaobuchalkaru/imgbaza/baza7/2543680618768.files/image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konspekta.net/megaobuchalkaru/imgbaza/baza7/2543680618768.files/image0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i/>
          <w:iCs/>
          <w:color w:val="000000"/>
        </w:rPr>
        <w:t> .</w:t>
      </w:r>
    </w:p>
    <w:p w:rsidR="003C0FFA" w:rsidRDefault="003C0FFA" w:rsidP="003C0FFA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w:r w:rsidRPr="003C0FFA">
        <w:rPr>
          <w:rFonts w:asciiTheme="minorHAnsi" w:hAnsiTheme="minorHAnsi" w:cstheme="minorHAnsi"/>
          <w:color w:val="000000"/>
          <w:sz w:val="28"/>
        </w:rPr>
        <w:t xml:space="preserve">Если элементы выборки X1, </w:t>
      </w:r>
      <w:proofErr w:type="gramStart"/>
      <w:r w:rsidRPr="003C0FFA">
        <w:rPr>
          <w:rFonts w:asciiTheme="minorHAnsi" w:hAnsiTheme="minorHAnsi" w:cstheme="minorHAnsi"/>
          <w:color w:val="000000"/>
          <w:sz w:val="28"/>
        </w:rPr>
        <w:t>. . . ,</w:t>
      </w:r>
      <w:proofErr w:type="gramEnd"/>
      <w:r w:rsidRPr="003C0FFA">
        <w:rPr>
          <w:rFonts w:asciiTheme="minorHAnsi" w:hAnsiTheme="minorHAnsi" w:cstheme="minorHAnsi"/>
          <w:color w:val="000000"/>
          <w:sz w:val="28"/>
        </w:rPr>
        <w:t xml:space="preserve"> </w:t>
      </w:r>
      <w:proofErr w:type="spellStart"/>
      <w:r w:rsidRPr="003C0FFA">
        <w:rPr>
          <w:rFonts w:asciiTheme="minorHAnsi" w:hAnsiTheme="minorHAnsi" w:cstheme="minorHAnsi"/>
          <w:color w:val="000000"/>
          <w:sz w:val="28"/>
        </w:rPr>
        <w:t>Xn</w:t>
      </w:r>
      <w:proofErr w:type="spellEnd"/>
      <w:r w:rsidRPr="003C0FFA">
        <w:rPr>
          <w:rFonts w:asciiTheme="minorHAnsi" w:hAnsiTheme="minorHAnsi" w:cstheme="minorHAnsi"/>
          <w:color w:val="000000"/>
          <w:sz w:val="28"/>
        </w:rPr>
        <w:t xml:space="preserve"> упорядочить по возрастанию на каждом элементарном исходе, получится новый набор случайных величин, называемый вариационным рядом</w:t>
      </w:r>
      <w:r>
        <w:rPr>
          <w:rFonts w:asciiTheme="minorHAnsi" w:hAnsiTheme="minorHAnsi" w:cstheme="minorHAnsi"/>
          <w:color w:val="000000"/>
          <w:sz w:val="28"/>
        </w:rPr>
        <w:t>.</w:t>
      </w:r>
    </w:p>
    <w:p w:rsidR="003C0FFA" w:rsidRDefault="003C0FFA" w:rsidP="0097035C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w:r>
        <w:rPr>
          <w:rFonts w:asciiTheme="minorHAnsi" w:hAnsiTheme="minorHAnsi" w:cstheme="minorHAnsi"/>
          <w:color w:val="000000"/>
          <w:sz w:val="28"/>
        </w:rPr>
        <w:t xml:space="preserve">   </w:t>
      </w:r>
      <m:oMath>
        <m:sSup>
          <m:sSupPr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  <w:sz w:val="28"/>
              </w:rPr>
              <m:t>F</m:t>
            </m:r>
          </m:e>
          <m:sup>
            <m:r>
              <w:rPr>
                <w:rFonts w:ascii="Cambria Math" w:hAnsi="Cambria Math" w:cstheme="minorHAnsi"/>
                <w:color w:val="000000"/>
                <w:sz w:val="28"/>
              </w:rPr>
              <m:t>^</m:t>
            </m:r>
          </m:sup>
        </m:sSup>
        <m:r>
          <w:rPr>
            <w:rFonts w:ascii="Cambria Math" w:hAnsi="Cambria Math" w:cstheme="minorHAnsi"/>
            <w:color w:val="000000"/>
            <w:sz w:val="28"/>
          </w:rPr>
          <m:t>(x)</m:t>
        </m:r>
        <m:r>
          <w:rPr>
            <w:rFonts w:ascii="Cambria Math" w:hAnsi="Cambria Math" w:cstheme="minorHAnsi"/>
            <w:color w:val="000000"/>
            <w:sz w:val="28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8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  <w:sz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naryPr>
          <m:sub>
            <m:r>
              <w:rPr>
                <w:rFonts w:ascii="Cambria Math" w:hAnsi="Cambria Math" w:cstheme="minorHAnsi"/>
                <w:color w:val="000000"/>
                <w:sz w:val="28"/>
              </w:rPr>
              <m:t>i=1</m:t>
            </m:r>
          </m:sub>
          <m:sup>
            <m:r>
              <w:rPr>
                <w:rFonts w:ascii="Cambria Math" w:hAnsi="Cambria Math" w:cstheme="minorHAnsi"/>
                <w:color w:val="000000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1</m:t>
                </m:r>
              </m:e>
              <m:sub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{Xi≤x}</m:t>
                </m:r>
              </m:sub>
            </m:sSub>
          </m:e>
        </m:nary>
      </m:oMath>
    </w:p>
    <w:p w:rsidR="0097035C" w:rsidRDefault="0097035C" w:rsidP="0097035C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  <w:sz w:val="28"/>
              </w:rPr>
              <m:t>x</m:t>
            </m:r>
          </m:e>
        </m:acc>
        <m:r>
          <w:rPr>
            <w:rFonts w:ascii="Cambria Math" w:hAnsi="Cambria Math" w:cstheme="minorHAnsi"/>
            <w:color w:val="000000"/>
            <w:sz w:val="28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8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  <w:sz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naryPr>
          <m:sub>
            <m:r>
              <w:rPr>
                <w:rFonts w:ascii="Cambria Math" w:hAnsi="Cambria Math" w:cstheme="minorHAnsi"/>
                <w:color w:val="000000"/>
                <w:sz w:val="28"/>
              </w:rPr>
              <m:t>i=1</m:t>
            </m:r>
          </m:sub>
          <m:sup>
            <m:r>
              <w:rPr>
                <w:rFonts w:ascii="Cambria Math" w:hAnsi="Cambria Math" w:cstheme="minorHAnsi"/>
                <w:color w:val="000000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i</m:t>
                </m:r>
              </m:sub>
            </m:sSub>
          </m:e>
        </m:nary>
      </m:oMath>
    </w:p>
    <w:p w:rsidR="0097035C" w:rsidRDefault="0097035C" w:rsidP="0097035C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m:oMath>
        <m:acc>
          <m:accPr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  <w:sz w:val="28"/>
              </w:rPr>
              <m:t>σ</m:t>
            </m:r>
          </m:e>
        </m:acc>
        <m:r>
          <w:rPr>
            <w:rFonts w:ascii="Cambria Math" w:hAnsi="Cambria Math" w:cstheme="minorHAnsi"/>
            <w:color w:val="000000"/>
            <w:sz w:val="28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radPr>
          <m:deg/>
          <m:e>
            <m:acc>
              <m:acc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D</m:t>
                </m:r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(x)</m:t>
                </m:r>
              </m:e>
            </m:acc>
          </m:e>
        </m:rad>
      </m:oMath>
    </w:p>
    <w:p w:rsidR="0097035C" w:rsidRDefault="0097035C" w:rsidP="0097035C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accPr>
          <m:e>
            <m:sSup>
              <m:sSup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k</m:t>
                </m:r>
              </m:sup>
            </m:sSup>
          </m:e>
        </m:acc>
        <m:r>
          <w:rPr>
            <w:rFonts w:ascii="Cambria Math" w:hAnsi="Cambria Math" w:cstheme="minorHAnsi"/>
            <w:color w:val="000000"/>
            <w:sz w:val="28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8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  <w:sz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color w:val="000000"/>
                <w:sz w:val="28"/>
              </w:rPr>
            </m:ctrlPr>
          </m:naryPr>
          <m:sub>
            <m:r>
              <w:rPr>
                <w:rFonts w:ascii="Cambria Math" w:hAnsi="Cambria Math" w:cstheme="minorHAnsi"/>
                <w:color w:val="000000"/>
                <w:sz w:val="28"/>
              </w:rPr>
              <m:t>i=1</m:t>
            </m:r>
          </m:sub>
          <m:sup>
            <m:r>
              <w:rPr>
                <w:rFonts w:ascii="Cambria Math" w:hAnsi="Cambria Math" w:cstheme="minorHAnsi"/>
                <w:color w:val="000000"/>
                <w:sz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i</m:t>
                </m:r>
              </m:sub>
              <m:sup>
                <m:r>
                  <w:rPr>
                    <w:rFonts w:ascii="Cambria Math" w:hAnsi="Cambria Math" w:cstheme="minorHAnsi"/>
                    <w:color w:val="000000"/>
                    <w:sz w:val="28"/>
                  </w:rPr>
                  <m:t>k</m:t>
                </m:r>
              </m:sup>
            </m:sSubSup>
          </m:e>
        </m:nary>
      </m:oMath>
    </w:p>
    <w:p w:rsidR="0097035C" w:rsidRDefault="008F102F" w:rsidP="0097035C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w:r>
        <w:rPr>
          <w:rFonts w:asciiTheme="minorHAnsi" w:hAnsiTheme="minorHAnsi" w:cstheme="minorHAnsi"/>
          <w:color w:val="000000"/>
          <w:sz w:val="28"/>
        </w:rPr>
        <w:t>Стати</w:t>
      </w:r>
      <w:r w:rsidR="0097035C" w:rsidRPr="0097035C">
        <w:rPr>
          <w:rFonts w:asciiTheme="minorHAnsi" w:hAnsiTheme="minorHAnsi" w:cstheme="minorHAnsi"/>
          <w:color w:val="000000"/>
          <w:sz w:val="28"/>
        </w:rPr>
        <w:t>стика — отрасль знаний, наука, в которой излагаются общие вопросы сбора, измерения, мониторинга, анализа массовых статистических (количественных или качественных) данных и их сравнение; изучение количественной стороны массовых обществе</w:t>
      </w:r>
      <w:r>
        <w:rPr>
          <w:rFonts w:asciiTheme="minorHAnsi" w:hAnsiTheme="minorHAnsi" w:cstheme="minorHAnsi"/>
          <w:color w:val="000000"/>
          <w:sz w:val="28"/>
        </w:rPr>
        <w:t>нных явлений в числовой форме</w:t>
      </w:r>
      <w:r w:rsidR="0097035C" w:rsidRPr="0097035C">
        <w:rPr>
          <w:rFonts w:asciiTheme="minorHAnsi" w:hAnsiTheme="minorHAnsi" w:cstheme="minorHAnsi"/>
          <w:color w:val="000000"/>
          <w:sz w:val="28"/>
        </w:rPr>
        <w:t>.</w:t>
      </w:r>
    </w:p>
    <w:p w:rsidR="008F102F" w:rsidRDefault="008F102F" w:rsidP="008F102F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w:r w:rsidRPr="008F102F">
        <w:rPr>
          <w:rFonts w:asciiTheme="minorHAnsi" w:hAnsiTheme="minorHAnsi" w:cstheme="minorHAnsi"/>
          <w:color w:val="000000"/>
          <w:sz w:val="28"/>
        </w:rPr>
        <w:t>Критерии согласия — это критерии проверки гипотез о соответствии эмпирического распределения теоретическому распределению вероятностей. Такие критерии подразделяются на два класса: общие и специальные. Общие критерии согласия применимы к самой общей формулировке гипотезы, а именно к гипотезе о согласии наблюдаемых результатов с любым априорно предполагаемым распределением вероятностей. Специальные критерии согласия предполагают специальные нулевые гипотезы, формулирующие согласие с определенной формой распределения вероятностей.</w:t>
      </w:r>
      <w:r>
        <w:rPr>
          <w:rFonts w:asciiTheme="minorHAnsi" w:hAnsiTheme="minorHAnsi" w:cstheme="minorHAnsi"/>
          <w:color w:val="000000"/>
          <w:sz w:val="28"/>
        </w:rPr>
        <w:t xml:space="preserve"> </w:t>
      </w:r>
      <w:r>
        <w:rPr>
          <w:rFonts w:asciiTheme="minorHAnsi" w:hAnsiTheme="minorHAnsi" w:cstheme="minorHAnsi"/>
          <w:color w:val="000000"/>
          <w:sz w:val="28"/>
        </w:rPr>
        <w:br/>
      </w:r>
      <w:r w:rsidRPr="008F102F">
        <w:rPr>
          <w:rFonts w:asciiTheme="minorHAnsi" w:hAnsiTheme="minorHAnsi" w:cstheme="minorHAnsi"/>
          <w:color w:val="000000"/>
          <w:sz w:val="28"/>
        </w:rPr>
        <w:t xml:space="preserve">Критерии согласия, опираясь на установленный закон распределения, дают возможность установить, когда расхождения между теоретическими и эмпирическими частотами следует признать несущественными (случайными), а когда — существенными (неслучайными). Из этого следует, что критерии согласия позволяют отвергнуть или </w:t>
      </w:r>
      <w:r w:rsidRPr="008F102F">
        <w:rPr>
          <w:rFonts w:asciiTheme="minorHAnsi" w:hAnsiTheme="minorHAnsi" w:cstheme="minorHAnsi"/>
          <w:color w:val="000000"/>
          <w:sz w:val="28"/>
        </w:rPr>
        <w:t>подтвердить</w:t>
      </w:r>
      <w:r w:rsidRPr="008F102F">
        <w:rPr>
          <w:rFonts w:asciiTheme="minorHAnsi" w:hAnsiTheme="minorHAnsi" w:cstheme="minorHAnsi"/>
          <w:color w:val="000000"/>
          <w:sz w:val="28"/>
        </w:rPr>
        <w:t xml:space="preserve"> правильность выдвинутой при выравнивании ряда гипотезы о характере распределения в </w:t>
      </w:r>
      <w:r w:rsidRPr="008F102F">
        <w:rPr>
          <w:rFonts w:asciiTheme="minorHAnsi" w:hAnsiTheme="minorHAnsi" w:cstheme="minorHAnsi"/>
          <w:color w:val="000000"/>
          <w:sz w:val="28"/>
        </w:rPr>
        <w:lastRenderedPageBreak/>
        <w:t>эмпирическом ряду и дать ответ, можно ли принять для данного эмпирического распределения модель, выраженную некоторым теоретическим законом распределения.</w:t>
      </w:r>
    </w:p>
    <w:p w:rsidR="008F102F" w:rsidRDefault="008F102F" w:rsidP="008F102F">
      <w:pPr>
        <w:pStyle w:val="a3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w:r w:rsidRPr="008F102F">
        <w:rPr>
          <w:rFonts w:asciiTheme="minorHAnsi" w:hAnsiTheme="minorHAnsi" w:cstheme="minorHAnsi"/>
          <w:color w:val="000000"/>
          <w:sz w:val="28"/>
        </w:rPr>
        <w:t>Критерий согласия Колмогорова предназначен для проверки гипотезы о принадлежности выборки некоторому закону распределения, то есть проверки того, что эмпирическое распределение соответствует предполагаемой модели.</w:t>
      </w:r>
    </w:p>
    <w:p w:rsidR="008F102F" w:rsidRDefault="008F102F" w:rsidP="008F102F">
      <w:pPr>
        <w:pStyle w:val="a3"/>
        <w:shd w:val="clear" w:color="auto" w:fill="FFFFFF"/>
        <w:jc w:val="center"/>
        <w:rPr>
          <w:rFonts w:asciiTheme="minorHAnsi" w:hAnsiTheme="minorHAnsi" w:cstheme="minorHAnsi"/>
          <w:color w:val="000000"/>
          <w:sz w:val="32"/>
        </w:rPr>
      </w:pPr>
      <w:r w:rsidRPr="008F102F">
        <w:rPr>
          <w:rFonts w:asciiTheme="minorHAnsi" w:hAnsiTheme="minorHAnsi" w:cstheme="minorHAnsi"/>
          <w:color w:val="000000"/>
          <w:sz w:val="32"/>
        </w:rPr>
        <w:t>ДЗ 14.</w:t>
      </w:r>
    </w:p>
    <w:p w:rsidR="008F102F" w:rsidRPr="008F102F" w:rsidRDefault="008F102F" w:rsidP="008F102F">
      <w:pPr>
        <w:pStyle w:val="a3"/>
        <w:shd w:val="clear" w:color="auto" w:fill="FFFFFF"/>
        <w:rPr>
          <w:rFonts w:asciiTheme="minorHAnsi" w:hAnsiTheme="minorHAnsi" w:cstheme="minorHAnsi"/>
          <w:color w:val="000000"/>
          <w:sz w:val="28"/>
        </w:rPr>
      </w:pPr>
      <w:bookmarkStart w:id="0" w:name="_GoBack"/>
      <w:bookmarkEnd w:id="0"/>
    </w:p>
    <w:p w:rsidR="003C0FFA" w:rsidRPr="003C0FFA" w:rsidRDefault="00882833" w:rsidP="00882833">
      <w:pPr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>
            <wp:extent cx="5036344" cy="6715125"/>
            <wp:effectExtent l="0" t="0" r="0" b="0"/>
            <wp:docPr id="8" name="Рисунок 8" descr="https://sun1-25.userapi.com/TbOqg7ruJQ0wOKzZ9Vkhm5-krlbpzFuoamnGhA/5KJHUCW1p3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un1-25.userapi.com/TbOqg7ruJQ0wOKzZ9Vkhm5-krlbpzFuoamnGhA/5KJHUCW1p3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42" cy="671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0FFA" w:rsidRPr="003C0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F32D8"/>
    <w:multiLevelType w:val="hybridMultilevel"/>
    <w:tmpl w:val="8C401F74"/>
    <w:lvl w:ilvl="0" w:tplc="67E404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73"/>
    <w:rsid w:val="003C0FFA"/>
    <w:rsid w:val="00701D73"/>
    <w:rsid w:val="00882833"/>
    <w:rsid w:val="008F102F"/>
    <w:rsid w:val="0097035C"/>
    <w:rsid w:val="00E7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C86F5"/>
  <w15:chartTrackingRefBased/>
  <w15:docId w15:val="{9B4C12FA-C4F9-4810-AFDC-621AA3F9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0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3C0FFA"/>
    <w:rPr>
      <w:color w:val="808080"/>
    </w:rPr>
  </w:style>
  <w:style w:type="character" w:customStyle="1" w:styleId="mi">
    <w:name w:val="mi"/>
    <w:basedOn w:val="a0"/>
    <w:rsid w:val="003C0FFA"/>
  </w:style>
  <w:style w:type="character" w:customStyle="1" w:styleId="mo">
    <w:name w:val="mo"/>
    <w:basedOn w:val="a0"/>
    <w:rsid w:val="003C0FFA"/>
  </w:style>
  <w:style w:type="character" w:customStyle="1" w:styleId="mn">
    <w:name w:val="mn"/>
    <w:basedOn w:val="a0"/>
    <w:rsid w:val="003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8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3</cp:revision>
  <dcterms:created xsi:type="dcterms:W3CDTF">2020-05-21T08:51:00Z</dcterms:created>
  <dcterms:modified xsi:type="dcterms:W3CDTF">2020-05-21T10:08:00Z</dcterms:modified>
</cp:coreProperties>
</file>