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6A451FF" w14:textId="77777777" w:rsidR="0099168E" w:rsidRDefault="00000000">
      <w:pPr>
        <w:spacing w:after="240"/>
        <w:ind w:firstLine="0"/>
        <w:jc w:val="center"/>
        <w:rPr>
          <w:lang w:eastAsia="zh-CN"/>
        </w:rPr>
      </w:pPr>
      <w:r>
        <w:rPr>
          <w:rFonts w:eastAsia="黑体"/>
          <w:b/>
          <w:sz w:val="44"/>
          <w:lang w:eastAsia="zh-CN"/>
        </w:rPr>
        <w:t>硕士学位论文中期进展报告</w:t>
      </w:r>
    </w:p>
    <w:p w14:paraId="58EA7E99" w14:textId="278B1C39" w:rsidR="0099168E" w:rsidRDefault="00000000">
      <w:pPr>
        <w:spacing w:after="60"/>
        <w:ind w:firstLine="0"/>
        <w:rPr>
          <w:lang w:eastAsia="zh-CN"/>
        </w:rPr>
      </w:pPr>
      <w:r>
        <w:rPr>
          <w:lang w:eastAsia="zh-CN"/>
        </w:rPr>
        <w:t>论文题目：省</w:t>
      </w:r>
      <w:proofErr w:type="gramStart"/>
      <w:r>
        <w:rPr>
          <w:lang w:eastAsia="zh-CN"/>
        </w:rPr>
        <w:t>域数字</w:t>
      </w:r>
      <w:proofErr w:type="gramEnd"/>
      <w:r>
        <w:rPr>
          <w:lang w:eastAsia="zh-CN"/>
        </w:rPr>
        <w:t>经济与能源结构的</w:t>
      </w:r>
      <w:r>
        <w:rPr>
          <w:lang w:eastAsia="zh-CN"/>
        </w:rPr>
        <w:t xml:space="preserve"> AR </w:t>
      </w:r>
      <w:r>
        <w:rPr>
          <w:lang w:eastAsia="zh-CN"/>
        </w:rPr>
        <w:t>沉浸式分析系统研究</w:t>
      </w:r>
    </w:p>
    <w:p w14:paraId="3707A10E" w14:textId="40F217D4" w:rsidR="0099168E" w:rsidRDefault="00000000">
      <w:pPr>
        <w:spacing w:after="60"/>
        <w:ind w:firstLine="0"/>
        <w:rPr>
          <w:lang w:eastAsia="zh-CN"/>
        </w:rPr>
      </w:pPr>
      <w:r>
        <w:rPr>
          <w:lang w:eastAsia="zh-CN"/>
        </w:rPr>
        <w:t>学生姓名：</w:t>
      </w:r>
      <w:proofErr w:type="gramStart"/>
      <w:r w:rsidR="009D1E15">
        <w:rPr>
          <w:rFonts w:hint="eastAsia"/>
          <w:lang w:eastAsia="zh-CN"/>
        </w:rPr>
        <w:t>柳敏德</w:t>
      </w:r>
      <w:proofErr w:type="gramEnd"/>
      <w:r w:rsidR="009D1E15">
        <w:rPr>
          <w:rFonts w:hint="eastAsia"/>
          <w:lang w:eastAsia="zh-CN"/>
        </w:rPr>
        <w:t xml:space="preserve">     </w:t>
      </w:r>
      <w:r>
        <w:rPr>
          <w:lang w:eastAsia="zh-CN"/>
        </w:rPr>
        <w:t>学号：</w:t>
      </w:r>
      <w:r w:rsidR="009D1E15">
        <w:rPr>
          <w:rFonts w:hint="eastAsia"/>
          <w:lang w:eastAsia="zh-CN"/>
        </w:rPr>
        <w:t>22321235</w:t>
      </w:r>
      <w:r>
        <w:rPr>
          <w:lang w:eastAsia="zh-CN"/>
        </w:rPr>
        <w:t xml:space="preserve">　学科专业：</w:t>
      </w:r>
      <w:r w:rsidR="009D1E15">
        <w:rPr>
          <w:rFonts w:hint="eastAsia"/>
          <w:lang w:eastAsia="zh-CN"/>
        </w:rPr>
        <w:t>电子信息</w:t>
      </w:r>
    </w:p>
    <w:p w14:paraId="3ABA5806" w14:textId="29EE3FC7" w:rsidR="0099168E" w:rsidRDefault="00000000">
      <w:pPr>
        <w:spacing w:after="60"/>
        <w:ind w:firstLine="0"/>
        <w:rPr>
          <w:lang w:eastAsia="zh-CN"/>
        </w:rPr>
      </w:pPr>
      <w:r>
        <w:rPr>
          <w:lang w:eastAsia="zh-CN"/>
        </w:rPr>
        <w:t>指导教师：</w:t>
      </w:r>
      <w:r w:rsidR="009D1E15">
        <w:rPr>
          <w:rFonts w:hint="eastAsia"/>
          <w:lang w:eastAsia="zh-CN"/>
        </w:rPr>
        <w:t>张宏鑫</w:t>
      </w:r>
      <w:r w:rsidR="009D1E15">
        <w:rPr>
          <w:rFonts w:hint="eastAsia"/>
          <w:lang w:eastAsia="zh-CN"/>
        </w:rPr>
        <w:t xml:space="preserve">    </w:t>
      </w:r>
      <w:r>
        <w:rPr>
          <w:lang w:eastAsia="zh-CN"/>
        </w:rPr>
        <w:t>报告日期：</w:t>
      </w:r>
      <w:r>
        <w:rPr>
          <w:lang w:eastAsia="zh-CN"/>
        </w:rPr>
        <w:t xml:space="preserve">2026 </w:t>
      </w:r>
      <w:r>
        <w:rPr>
          <w:lang w:eastAsia="zh-CN"/>
        </w:rPr>
        <w:t>年</w:t>
      </w:r>
      <w:r>
        <w:rPr>
          <w:lang w:eastAsia="zh-CN"/>
        </w:rPr>
        <w:t xml:space="preserve"> 4 </w:t>
      </w:r>
      <w:r>
        <w:rPr>
          <w:lang w:eastAsia="zh-CN"/>
        </w:rPr>
        <w:t>月</w:t>
      </w:r>
    </w:p>
    <w:p w14:paraId="19CFB207" w14:textId="77777777" w:rsidR="0099168E" w:rsidRDefault="00000000">
      <w:pPr>
        <w:pStyle w:val="1"/>
        <w:spacing w:before="240"/>
        <w:rPr>
          <w:lang w:eastAsia="zh-CN"/>
        </w:rPr>
      </w:pPr>
      <w:r>
        <w:rPr>
          <w:lang w:eastAsia="zh-CN"/>
        </w:rPr>
        <w:t>一、选题概况与研究目标</w:t>
      </w:r>
    </w:p>
    <w:p w14:paraId="4FED73D5" w14:textId="77777777" w:rsidR="0099168E" w:rsidRDefault="00000000">
      <w:pPr>
        <w:rPr>
          <w:lang w:eastAsia="zh-CN"/>
        </w:rPr>
      </w:pPr>
      <w:r>
        <w:rPr>
          <w:lang w:eastAsia="zh-CN"/>
        </w:rPr>
        <w:t>在数字中国建设与</w:t>
      </w:r>
      <w:r>
        <w:rPr>
          <w:lang w:eastAsia="zh-CN"/>
        </w:rPr>
        <w:t>“</w:t>
      </w:r>
      <w:r>
        <w:rPr>
          <w:lang w:eastAsia="zh-CN"/>
        </w:rPr>
        <w:t>双碳</w:t>
      </w:r>
      <w:r>
        <w:rPr>
          <w:lang w:eastAsia="zh-CN"/>
        </w:rPr>
        <w:t>”</w:t>
      </w:r>
      <w:r>
        <w:rPr>
          <w:lang w:eastAsia="zh-CN"/>
        </w:rPr>
        <w:t>目标协同推进背景下，省</w:t>
      </w:r>
      <w:proofErr w:type="gramStart"/>
      <w:r>
        <w:rPr>
          <w:lang w:eastAsia="zh-CN"/>
        </w:rPr>
        <w:t>域数字</w:t>
      </w:r>
      <w:proofErr w:type="gramEnd"/>
      <w:r>
        <w:rPr>
          <w:lang w:eastAsia="zh-CN"/>
        </w:rPr>
        <w:t>经济发展与能源结构优化之间的关系已成为区域绿色转型研究的重要议题。既有研究在理论机制与计量识别方面积累了丰富成果，但成果呈现方式仍以二维统计图表与传统回归表格为主，难以在省际尺度上形成对空间梯度、邻接关系与时序演化的连续阅读体验，也不利于走动式研讨、答辩讲解与跨部门沟通中对</w:t>
      </w:r>
      <w:r>
        <w:rPr>
          <w:lang w:eastAsia="zh-CN"/>
        </w:rPr>
        <w:t>“</w:t>
      </w:r>
      <w:r>
        <w:rPr>
          <w:lang w:eastAsia="zh-CN"/>
        </w:rPr>
        <w:t>证据链</w:t>
      </w:r>
      <w:r>
        <w:rPr>
          <w:lang w:eastAsia="zh-CN"/>
        </w:rPr>
        <w:t>”</w:t>
      </w:r>
      <w:r>
        <w:rPr>
          <w:lang w:eastAsia="zh-CN"/>
        </w:rPr>
        <w:t>的一体化把握。</w:t>
      </w:r>
    </w:p>
    <w:p w14:paraId="6381A28B" w14:textId="77777777" w:rsidR="0099168E" w:rsidRDefault="00000000">
      <w:pPr>
        <w:rPr>
          <w:lang w:eastAsia="zh-CN"/>
        </w:rPr>
      </w:pPr>
      <w:r>
        <w:rPr>
          <w:lang w:eastAsia="zh-CN"/>
        </w:rPr>
        <w:t>基于上述背景，本学位论文以省</w:t>
      </w:r>
      <w:proofErr w:type="gramStart"/>
      <w:r>
        <w:rPr>
          <w:lang w:eastAsia="zh-CN"/>
        </w:rPr>
        <w:t>域数字</w:t>
      </w:r>
      <w:proofErr w:type="gramEnd"/>
      <w:r>
        <w:rPr>
          <w:lang w:eastAsia="zh-CN"/>
        </w:rPr>
        <w:t>经济水平（</w:t>
      </w:r>
      <w:r>
        <w:rPr>
          <w:lang w:eastAsia="zh-CN"/>
        </w:rPr>
        <w:t>DEL</w:t>
      </w:r>
      <w:r>
        <w:rPr>
          <w:lang w:eastAsia="zh-CN"/>
        </w:rPr>
        <w:t>）与能源结构优化水平（</w:t>
      </w:r>
      <w:r>
        <w:rPr>
          <w:lang w:eastAsia="zh-CN"/>
        </w:rPr>
        <w:t>ES</w:t>
      </w:r>
      <w:r>
        <w:rPr>
          <w:lang w:eastAsia="zh-CN"/>
        </w:rPr>
        <w:t>）为核心对象，在完成规范测度与面板计量分析的基础上，进一步构建面向头戴</w:t>
      </w:r>
      <w:proofErr w:type="gramStart"/>
      <w:r>
        <w:rPr>
          <w:lang w:eastAsia="zh-CN"/>
        </w:rPr>
        <w:t>式增强</w:t>
      </w:r>
      <w:proofErr w:type="gramEnd"/>
      <w:r>
        <w:rPr>
          <w:lang w:eastAsia="zh-CN"/>
        </w:rPr>
        <w:t>现实（</w:t>
      </w:r>
      <w:r>
        <w:rPr>
          <w:lang w:eastAsia="zh-CN"/>
        </w:rPr>
        <w:t>AR</w:t>
      </w:r>
      <w:r>
        <w:rPr>
          <w:lang w:eastAsia="zh-CN"/>
        </w:rPr>
        <w:t>）场景的沉浸式分析原型系统，探索将计量结论、机制解释与省</w:t>
      </w:r>
      <w:proofErr w:type="gramStart"/>
      <w:r>
        <w:rPr>
          <w:lang w:eastAsia="zh-CN"/>
        </w:rPr>
        <w:t>域空间</w:t>
      </w:r>
      <w:proofErr w:type="gramEnd"/>
      <w:r>
        <w:rPr>
          <w:lang w:eastAsia="zh-CN"/>
        </w:rPr>
        <w:t>表达在同一交互语义下联动的可行路径。研究总体目标可概括为：在保持统计结论可核对、可追溯的前提下，形成</w:t>
      </w:r>
      <w:r>
        <w:rPr>
          <w:lang w:eastAsia="zh-CN"/>
        </w:rPr>
        <w:t>“</w:t>
      </w:r>
      <w:r>
        <w:rPr>
          <w:lang w:eastAsia="zh-CN"/>
        </w:rPr>
        <w:t>理论</w:t>
      </w:r>
      <w:r>
        <w:rPr>
          <w:lang w:eastAsia="zh-CN"/>
        </w:rPr>
        <w:t>—</w:t>
      </w:r>
      <w:r>
        <w:rPr>
          <w:lang w:eastAsia="zh-CN"/>
        </w:rPr>
        <w:t>测度</w:t>
      </w:r>
      <w:r>
        <w:rPr>
          <w:lang w:eastAsia="zh-CN"/>
        </w:rPr>
        <w:t>—</w:t>
      </w:r>
      <w:r>
        <w:rPr>
          <w:lang w:eastAsia="zh-CN"/>
        </w:rPr>
        <w:t>实证</w:t>
      </w:r>
      <w:r>
        <w:rPr>
          <w:lang w:eastAsia="zh-CN"/>
        </w:rPr>
        <w:t>—</w:t>
      </w:r>
      <w:r>
        <w:rPr>
          <w:lang w:eastAsia="zh-CN"/>
        </w:rPr>
        <w:t>系统实现</w:t>
      </w:r>
      <w:r>
        <w:rPr>
          <w:lang w:eastAsia="zh-CN"/>
        </w:rPr>
        <w:t>—</w:t>
      </w:r>
      <w:r>
        <w:rPr>
          <w:lang w:eastAsia="zh-CN"/>
        </w:rPr>
        <w:t>沉浸阅读</w:t>
      </w:r>
      <w:r>
        <w:rPr>
          <w:lang w:eastAsia="zh-CN"/>
        </w:rPr>
        <w:t>”</w:t>
      </w:r>
      <w:r>
        <w:rPr>
          <w:lang w:eastAsia="zh-CN"/>
        </w:rPr>
        <w:t>的完整链条，为区域经济与能源政策相关成果提供一种新的呈现范式与可复用的工程化参考。</w:t>
      </w:r>
    </w:p>
    <w:p w14:paraId="7F45AB79" w14:textId="77777777" w:rsidR="0099168E" w:rsidRDefault="00000000">
      <w:pPr>
        <w:pStyle w:val="1"/>
        <w:spacing w:before="240"/>
        <w:rPr>
          <w:lang w:eastAsia="zh-CN"/>
        </w:rPr>
      </w:pPr>
      <w:r>
        <w:rPr>
          <w:lang w:eastAsia="zh-CN"/>
        </w:rPr>
        <w:t>二、已完成的主要工作及取得的阶段性成果</w:t>
      </w:r>
    </w:p>
    <w:p w14:paraId="2ED04043" w14:textId="77777777" w:rsidR="0099168E" w:rsidRDefault="00000000">
      <w:pPr>
        <w:pStyle w:val="21"/>
        <w:spacing w:before="120"/>
        <w:rPr>
          <w:lang w:eastAsia="zh-CN"/>
        </w:rPr>
      </w:pPr>
      <w:r>
        <w:rPr>
          <w:lang w:eastAsia="zh-CN"/>
        </w:rPr>
        <w:t>（一）文献综述、理论框架与研究路线</w:t>
      </w:r>
    </w:p>
    <w:p w14:paraId="063E1532" w14:textId="77777777" w:rsidR="0099168E" w:rsidRDefault="00000000">
      <w:pPr>
        <w:rPr>
          <w:lang w:eastAsia="zh-CN"/>
        </w:rPr>
      </w:pPr>
      <w:r>
        <w:rPr>
          <w:lang w:eastAsia="zh-CN"/>
        </w:rPr>
        <w:t>已完成对国内外相关研究的系统梳理，并形成三条清晰线索：其一，数字经济与能源结构关系的计量研究进展，包括面板固定效应、空间计量、中介与门槛等拓展方向；其二，</w:t>
      </w:r>
      <w:r>
        <w:rPr>
          <w:lang w:eastAsia="zh-CN"/>
        </w:rPr>
        <w:t xml:space="preserve">AR </w:t>
      </w:r>
      <w:r>
        <w:rPr>
          <w:lang w:eastAsia="zh-CN"/>
        </w:rPr>
        <w:t>与空间可视化在地理信息、智慧城市等领域的应用进展，以及</w:t>
      </w:r>
      <w:r>
        <w:rPr>
          <w:lang w:eastAsia="zh-CN"/>
        </w:rPr>
        <w:lastRenderedPageBreak/>
        <w:t>多模态交互在可穿戴场景下的共性难点；其三，大语言模型与扩展现实融合的技术趋势及其在专业化分析场景中的边界条件。</w:t>
      </w:r>
    </w:p>
    <w:p w14:paraId="16BFE440" w14:textId="77777777" w:rsidR="0099168E" w:rsidRDefault="00000000">
      <w:pPr>
        <w:rPr>
          <w:lang w:eastAsia="zh-CN"/>
        </w:rPr>
      </w:pPr>
      <w:r>
        <w:rPr>
          <w:lang w:eastAsia="zh-CN"/>
        </w:rPr>
        <w:t>在理论层面，已完成核心概念界定，明确数字经济、能源结构优化与</w:t>
      </w:r>
      <w:r>
        <w:rPr>
          <w:lang w:eastAsia="zh-CN"/>
        </w:rPr>
        <w:t xml:space="preserve"> AR </w:t>
      </w:r>
      <w:r>
        <w:rPr>
          <w:lang w:eastAsia="zh-CN"/>
        </w:rPr>
        <w:t>沉浸式分析在本研究中的操作化含义；引入新结构经济学、技术创新扩散理论、空间计量经济学与人机交互理论，构建数字经济影响能源结构的作用机制分析框架，涵盖资源配置优化、产业升级、绿色治理提升等路径，并对非线性特征与区域异质性进行理论阐释。在研究方法上，明确采用文献研究、指标综合评价、面板计量分析、工程化系统实现与用户体验评估相结合的技术路线，为后续章节写作提供一致叙事骨架。</w:t>
      </w:r>
    </w:p>
    <w:p w14:paraId="5AA430DB" w14:textId="77777777" w:rsidR="0099168E" w:rsidRDefault="00000000">
      <w:pPr>
        <w:pStyle w:val="21"/>
        <w:spacing w:before="120"/>
        <w:rPr>
          <w:lang w:eastAsia="zh-CN"/>
        </w:rPr>
      </w:pPr>
      <w:r>
        <w:rPr>
          <w:lang w:eastAsia="zh-CN"/>
        </w:rPr>
        <w:t>（二）多模态</w:t>
      </w:r>
      <w:r>
        <w:rPr>
          <w:lang w:eastAsia="zh-CN"/>
        </w:rPr>
        <w:t xml:space="preserve"> AR </w:t>
      </w:r>
      <w:r>
        <w:rPr>
          <w:lang w:eastAsia="zh-CN"/>
        </w:rPr>
        <w:t>交互机制设计与方法表达</w:t>
      </w:r>
    </w:p>
    <w:p w14:paraId="67F337F1" w14:textId="77777777" w:rsidR="0099168E" w:rsidRDefault="00000000">
      <w:pPr>
        <w:rPr>
          <w:lang w:eastAsia="zh-CN"/>
        </w:rPr>
      </w:pPr>
      <w:r>
        <w:rPr>
          <w:lang w:eastAsia="zh-CN"/>
        </w:rPr>
        <w:t>已完成第三章</w:t>
      </w:r>
      <w:r>
        <w:rPr>
          <w:lang w:eastAsia="zh-CN"/>
        </w:rPr>
        <w:t xml:space="preserve">“AR </w:t>
      </w:r>
      <w:r>
        <w:rPr>
          <w:lang w:eastAsia="zh-CN"/>
        </w:rPr>
        <w:t>多模态交互</w:t>
      </w:r>
      <w:r>
        <w:rPr>
          <w:lang w:eastAsia="zh-CN"/>
        </w:rPr>
        <w:t>”</w:t>
      </w:r>
      <w:r>
        <w:rPr>
          <w:lang w:eastAsia="zh-CN"/>
        </w:rPr>
        <w:t>的主体撰写与关键方法形式化。</w:t>
      </w:r>
      <w:proofErr w:type="gramStart"/>
      <w:r>
        <w:rPr>
          <w:lang w:eastAsia="zh-CN"/>
        </w:rPr>
        <w:t>面向省域数据</w:t>
      </w:r>
      <w:proofErr w:type="gramEnd"/>
      <w:r>
        <w:rPr>
          <w:lang w:eastAsia="zh-CN"/>
        </w:rPr>
        <w:t>可视化任务，将交互对象抽象为有限维状态向量（年份、指标类型、选中省份、视图刷新等），强调多模态输入不直接操作渲染细节，而是先更新统</w:t>
      </w:r>
      <w:proofErr w:type="gramStart"/>
      <w:r>
        <w:rPr>
          <w:lang w:eastAsia="zh-CN"/>
        </w:rPr>
        <w:t>一</w:t>
      </w:r>
      <w:proofErr w:type="gramEnd"/>
      <w:r>
        <w:rPr>
          <w:lang w:eastAsia="zh-CN"/>
        </w:rPr>
        <w:t>状态，再由</w:t>
      </w:r>
      <w:proofErr w:type="gramStart"/>
      <w:r>
        <w:rPr>
          <w:lang w:eastAsia="zh-CN"/>
        </w:rPr>
        <w:t>可视化层重算</w:t>
      </w:r>
      <w:proofErr w:type="gramEnd"/>
      <w:r>
        <w:rPr>
          <w:lang w:eastAsia="zh-CN"/>
        </w:rPr>
        <w:t>映射，从工程上实现交互逻辑与数据表达的解耦。</w:t>
      </w:r>
    </w:p>
    <w:p w14:paraId="78B61873" w14:textId="77777777" w:rsidR="0099168E" w:rsidRDefault="00000000">
      <w:pPr>
        <w:rPr>
          <w:lang w:eastAsia="zh-CN"/>
        </w:rPr>
      </w:pPr>
      <w:r>
        <w:rPr>
          <w:lang w:eastAsia="zh-CN"/>
        </w:rPr>
        <w:t>在总体架构上，形成</w:t>
      </w:r>
      <w:r>
        <w:rPr>
          <w:lang w:eastAsia="zh-CN"/>
        </w:rPr>
        <w:t>“</w:t>
      </w:r>
      <w:r>
        <w:rPr>
          <w:lang w:eastAsia="zh-CN"/>
        </w:rPr>
        <w:t>多路输入</w:t>
      </w:r>
      <w:r>
        <w:rPr>
          <w:lang w:eastAsia="zh-CN"/>
        </w:rPr>
        <w:t>—</w:t>
      </w:r>
      <w:r>
        <w:rPr>
          <w:lang w:eastAsia="zh-CN"/>
        </w:rPr>
        <w:t>通道内处理</w:t>
      </w:r>
      <w:r>
        <w:rPr>
          <w:lang w:eastAsia="zh-CN"/>
        </w:rPr>
        <w:t>—</w:t>
      </w:r>
      <w:r>
        <w:rPr>
          <w:lang w:eastAsia="zh-CN"/>
        </w:rPr>
        <w:t>融合写状态</w:t>
      </w:r>
      <w:r>
        <w:rPr>
          <w:lang w:eastAsia="zh-CN"/>
        </w:rPr>
        <w:t>—</w:t>
      </w:r>
      <w:r>
        <w:rPr>
          <w:lang w:eastAsia="zh-CN"/>
        </w:rPr>
        <w:t>可视化与语义并行消费</w:t>
      </w:r>
      <w:r>
        <w:rPr>
          <w:lang w:eastAsia="zh-CN"/>
        </w:rPr>
        <w:t>”</w:t>
      </w:r>
      <w:r>
        <w:rPr>
          <w:lang w:eastAsia="zh-CN"/>
        </w:rPr>
        <w:t>的分层方案，明确</w:t>
      </w:r>
      <w:r>
        <w:rPr>
          <w:lang w:eastAsia="zh-CN"/>
        </w:rPr>
        <w:t xml:space="preserve"> Unity </w:t>
      </w:r>
      <w:r>
        <w:rPr>
          <w:lang w:eastAsia="zh-CN"/>
        </w:rPr>
        <w:t>客户端与</w:t>
      </w:r>
      <w:r>
        <w:rPr>
          <w:lang w:eastAsia="zh-CN"/>
        </w:rPr>
        <w:t xml:space="preserve"> Rokid UXR </w:t>
      </w:r>
      <w:r>
        <w:rPr>
          <w:lang w:eastAsia="zh-CN"/>
        </w:rPr>
        <w:t>采集渲染</w:t>
      </w:r>
      <w:proofErr w:type="gramStart"/>
      <w:r>
        <w:rPr>
          <w:lang w:eastAsia="zh-CN"/>
        </w:rPr>
        <w:t>栈</w:t>
      </w:r>
      <w:proofErr w:type="gramEnd"/>
      <w:r>
        <w:rPr>
          <w:lang w:eastAsia="zh-CN"/>
        </w:rPr>
        <w:t>、</w:t>
      </w:r>
      <w:proofErr w:type="spellStart"/>
      <w:r>
        <w:rPr>
          <w:lang w:eastAsia="zh-CN"/>
        </w:rPr>
        <w:t>FastAPI</w:t>
      </w:r>
      <w:proofErr w:type="spellEnd"/>
      <w:r>
        <w:rPr>
          <w:lang w:eastAsia="zh-CN"/>
        </w:rPr>
        <w:t xml:space="preserve"> </w:t>
      </w:r>
      <w:r>
        <w:rPr>
          <w:lang w:eastAsia="zh-CN"/>
        </w:rPr>
        <w:t>服务端承载大模型与数据访问、局域网</w:t>
      </w:r>
      <w:r>
        <w:rPr>
          <w:lang w:eastAsia="zh-CN"/>
        </w:rPr>
        <w:t xml:space="preserve"> JSON </w:t>
      </w:r>
      <w:r>
        <w:rPr>
          <w:lang w:eastAsia="zh-CN"/>
        </w:rPr>
        <w:t>通信的组织方式。手势通道方面，论证平台基础手势难以覆盖分析任务需求，提出基于深度骨骼约束的自定义手势集合，并给出手势与语义映射表（年份步进、</w:t>
      </w:r>
      <w:r>
        <w:rPr>
          <w:lang w:eastAsia="zh-CN"/>
        </w:rPr>
        <w:t xml:space="preserve">DEL/ES </w:t>
      </w:r>
      <w:r>
        <w:rPr>
          <w:lang w:eastAsia="zh-CN"/>
        </w:rPr>
        <w:t>指标切换、计量面板开关、全国</w:t>
      </w:r>
      <w:r>
        <w:rPr>
          <w:lang w:eastAsia="zh-CN"/>
        </w:rPr>
        <w:t>/</w:t>
      </w:r>
      <w:r>
        <w:rPr>
          <w:lang w:eastAsia="zh-CN"/>
        </w:rPr>
        <w:t>省级场景切换、复位等）。针对高频短指令场景的</w:t>
      </w:r>
      <w:proofErr w:type="gramStart"/>
      <w:r>
        <w:rPr>
          <w:lang w:eastAsia="zh-CN"/>
        </w:rPr>
        <w:t>误触与连发</w:t>
      </w:r>
      <w:proofErr w:type="gramEnd"/>
      <w:r>
        <w:rPr>
          <w:lang w:eastAsia="zh-CN"/>
        </w:rPr>
        <w:t>问题，提出并形式化</w:t>
      </w:r>
      <w:r>
        <w:rPr>
          <w:lang w:eastAsia="zh-CN"/>
        </w:rPr>
        <w:t>“</w:t>
      </w:r>
      <w:r>
        <w:rPr>
          <w:lang w:eastAsia="zh-CN"/>
        </w:rPr>
        <w:t>边沿触发</w:t>
      </w:r>
      <w:r>
        <w:rPr>
          <w:lang w:eastAsia="zh-CN"/>
        </w:rPr>
        <w:t xml:space="preserve"> + </w:t>
      </w:r>
      <w:r>
        <w:rPr>
          <w:lang w:eastAsia="zh-CN"/>
        </w:rPr>
        <w:t>时间窗抑制</w:t>
      </w:r>
      <w:r>
        <w:rPr>
          <w:lang w:eastAsia="zh-CN"/>
        </w:rPr>
        <w:t xml:space="preserve"> + </w:t>
      </w:r>
      <w:r>
        <w:rPr>
          <w:lang w:eastAsia="zh-CN"/>
        </w:rPr>
        <w:t>最小稳定帧</w:t>
      </w:r>
      <w:r>
        <w:rPr>
          <w:lang w:eastAsia="zh-CN"/>
        </w:rPr>
        <w:t>”</w:t>
      </w:r>
      <w:r>
        <w:rPr>
          <w:lang w:eastAsia="zh-CN"/>
        </w:rPr>
        <w:t>组合门控机制，给出候选触发、冷却约束与稳定</w:t>
      </w:r>
      <w:proofErr w:type="gramStart"/>
      <w:r>
        <w:rPr>
          <w:lang w:eastAsia="zh-CN"/>
        </w:rPr>
        <w:t>帧</w:t>
      </w:r>
      <w:proofErr w:type="gramEnd"/>
      <w:r>
        <w:rPr>
          <w:lang w:eastAsia="zh-CN"/>
        </w:rPr>
        <w:t>条件的数学表达及伪代码流程，以提升可穿戴噪声环境下的交互稳定性与可复核性。</w:t>
      </w:r>
    </w:p>
    <w:p w14:paraId="7CD4F64D" w14:textId="77777777" w:rsidR="0099168E" w:rsidRDefault="00000000">
      <w:pPr>
        <w:rPr>
          <w:lang w:eastAsia="zh-CN"/>
        </w:rPr>
      </w:pPr>
      <w:r>
        <w:rPr>
          <w:lang w:eastAsia="zh-CN"/>
        </w:rPr>
        <w:t>语音与大模型方面，论证纯云端或纯离线</w:t>
      </w:r>
      <w:r>
        <w:rPr>
          <w:lang w:eastAsia="zh-CN"/>
        </w:rPr>
        <w:t xml:space="preserve"> ASR </w:t>
      </w:r>
      <w:r>
        <w:rPr>
          <w:lang w:eastAsia="zh-CN"/>
        </w:rPr>
        <w:t>的取舍后，采用</w:t>
      </w:r>
      <w:r>
        <w:rPr>
          <w:lang w:eastAsia="zh-CN"/>
        </w:rPr>
        <w:t>“</w:t>
      </w:r>
      <w:r>
        <w:rPr>
          <w:lang w:eastAsia="zh-CN"/>
        </w:rPr>
        <w:t>离线</w:t>
      </w:r>
      <w:r>
        <w:rPr>
          <w:lang w:eastAsia="zh-CN"/>
        </w:rPr>
        <w:t xml:space="preserve"> ASR + </w:t>
      </w:r>
      <w:r>
        <w:rPr>
          <w:lang w:eastAsia="zh-CN"/>
        </w:rPr>
        <w:t>受约束大模型增强</w:t>
      </w:r>
      <w:r>
        <w:rPr>
          <w:lang w:eastAsia="zh-CN"/>
        </w:rPr>
        <w:t>”</w:t>
      </w:r>
      <w:r>
        <w:rPr>
          <w:lang w:eastAsia="zh-CN"/>
        </w:rPr>
        <w:t>的方案：离线识别</w:t>
      </w:r>
      <w:proofErr w:type="gramStart"/>
      <w:r>
        <w:rPr>
          <w:lang w:eastAsia="zh-CN"/>
        </w:rPr>
        <w:t>保证弱网可用</w:t>
      </w:r>
      <w:proofErr w:type="gramEnd"/>
      <w:r>
        <w:rPr>
          <w:lang w:eastAsia="zh-CN"/>
        </w:rPr>
        <w:t>与低时延，大模型承担音近纠错与口语归一化，但通过词表约束、模板约束</w:t>
      </w:r>
      <w:proofErr w:type="gramStart"/>
      <w:r>
        <w:rPr>
          <w:lang w:eastAsia="zh-CN"/>
        </w:rPr>
        <w:t>与拒识机制</w:t>
      </w:r>
      <w:proofErr w:type="gramEnd"/>
      <w:r>
        <w:rPr>
          <w:lang w:eastAsia="zh-CN"/>
        </w:rPr>
        <w:t>限定输出边界；强调控制链路以确定性规则映射为主，数值与回归结论必须由数据引擎提供，避免生成</w:t>
      </w:r>
      <w:proofErr w:type="gramStart"/>
      <w:r>
        <w:rPr>
          <w:lang w:eastAsia="zh-CN"/>
        </w:rPr>
        <w:t>式内容</w:t>
      </w:r>
      <w:proofErr w:type="gramEnd"/>
      <w:r>
        <w:rPr>
          <w:lang w:eastAsia="zh-CN"/>
        </w:rPr>
        <w:lastRenderedPageBreak/>
        <w:t>越权改写底层数据。在多模态融合方面，提出</w:t>
      </w:r>
      <w:proofErr w:type="gramStart"/>
      <w:r>
        <w:rPr>
          <w:lang w:eastAsia="zh-CN"/>
        </w:rPr>
        <w:t>双阶段</w:t>
      </w:r>
      <w:proofErr w:type="gramEnd"/>
      <w:r>
        <w:rPr>
          <w:lang w:eastAsia="zh-CN"/>
        </w:rPr>
        <w:t>仲裁策略：通道内完成有效性筛选，跨通道对作用于同一状态变量且时间间隔较短的事件集合进行冲突消解，并以串行队列提交状态更新，保证输入事件到视图刷新的单步可追踪性。</w:t>
      </w:r>
    </w:p>
    <w:p w14:paraId="10F9D200" w14:textId="77777777" w:rsidR="0099168E" w:rsidRDefault="00000000">
      <w:pPr>
        <w:pStyle w:val="21"/>
        <w:spacing w:before="120"/>
        <w:rPr>
          <w:lang w:eastAsia="zh-CN"/>
        </w:rPr>
      </w:pPr>
      <w:r>
        <w:rPr>
          <w:lang w:eastAsia="zh-CN"/>
        </w:rPr>
        <w:t>（三）</w:t>
      </w:r>
      <w:r>
        <w:rPr>
          <w:lang w:eastAsia="zh-CN"/>
        </w:rPr>
        <w:t xml:space="preserve">AR </w:t>
      </w:r>
      <w:r>
        <w:rPr>
          <w:lang w:eastAsia="zh-CN"/>
        </w:rPr>
        <w:t>可视化系统架构与工程实现</w:t>
      </w:r>
    </w:p>
    <w:p w14:paraId="5AF9FE60" w14:textId="77777777" w:rsidR="0099168E" w:rsidRDefault="00000000">
      <w:pPr>
        <w:rPr>
          <w:lang w:eastAsia="zh-CN"/>
        </w:rPr>
      </w:pPr>
      <w:r>
        <w:rPr>
          <w:lang w:eastAsia="zh-CN"/>
        </w:rPr>
        <w:t>已完成第四章</w:t>
      </w:r>
      <w:r>
        <w:rPr>
          <w:lang w:eastAsia="zh-CN"/>
        </w:rPr>
        <w:t xml:space="preserve">“AR </w:t>
      </w:r>
      <w:r>
        <w:rPr>
          <w:lang w:eastAsia="zh-CN"/>
        </w:rPr>
        <w:t>可视化系统</w:t>
      </w:r>
      <w:r>
        <w:rPr>
          <w:lang w:eastAsia="zh-CN"/>
        </w:rPr>
        <w:t>”</w:t>
      </w:r>
      <w:r>
        <w:rPr>
          <w:lang w:eastAsia="zh-CN"/>
        </w:rPr>
        <w:t>的需求分析、架构设计与实现路径撰写。需求层面强调</w:t>
      </w:r>
      <w:r>
        <w:rPr>
          <w:lang w:eastAsia="zh-CN"/>
        </w:rPr>
        <w:t>“</w:t>
      </w:r>
      <w:r>
        <w:rPr>
          <w:lang w:eastAsia="zh-CN"/>
        </w:rPr>
        <w:t>估计量在空间上的可核对呈现</w:t>
      </w:r>
      <w:r>
        <w:rPr>
          <w:lang w:eastAsia="zh-CN"/>
        </w:rPr>
        <w:t>”</w:t>
      </w:r>
      <w:r>
        <w:rPr>
          <w:lang w:eastAsia="zh-CN"/>
        </w:rPr>
        <w:t>，明确省域着色与高度映射必须与</w:t>
      </w:r>
      <w:r>
        <w:rPr>
          <w:lang w:eastAsia="zh-CN"/>
        </w:rPr>
        <w:t xml:space="preserve"> Unity </w:t>
      </w:r>
      <w:r>
        <w:rPr>
          <w:lang w:eastAsia="zh-CN"/>
        </w:rPr>
        <w:t>数据引擎中的</w:t>
      </w:r>
      <w:r>
        <w:rPr>
          <w:lang w:eastAsia="zh-CN"/>
        </w:rPr>
        <w:t xml:space="preserve"> ES</w:t>
      </w:r>
      <w:r>
        <w:rPr>
          <w:lang w:eastAsia="zh-CN"/>
        </w:rPr>
        <w:t>、</w:t>
      </w:r>
      <w:r>
        <w:rPr>
          <w:lang w:eastAsia="zh-CN"/>
        </w:rPr>
        <w:t xml:space="preserve">DEL </w:t>
      </w:r>
      <w:r>
        <w:rPr>
          <w:lang w:eastAsia="zh-CN"/>
        </w:rPr>
        <w:t>及回归结果同源，时间轴与区域筛选不得擅自改变已发布估计口径；并从解放双手、沉浸感与便携性等角度论证相对传统大屏的优势。</w:t>
      </w:r>
    </w:p>
    <w:p w14:paraId="43A08171" w14:textId="77777777" w:rsidR="0099168E" w:rsidRDefault="00000000">
      <w:pPr>
        <w:rPr>
          <w:lang w:eastAsia="zh-CN"/>
        </w:rPr>
      </w:pPr>
      <w:r>
        <w:rPr>
          <w:lang w:eastAsia="zh-CN"/>
        </w:rPr>
        <w:t>架构层面提出</w:t>
      </w:r>
      <w:r>
        <w:rPr>
          <w:lang w:eastAsia="zh-CN"/>
        </w:rPr>
        <w:t>“</w:t>
      </w:r>
      <w:r>
        <w:rPr>
          <w:lang w:eastAsia="zh-CN"/>
        </w:rPr>
        <w:t>四层递进、单主链分发</w:t>
      </w:r>
      <w:r>
        <w:rPr>
          <w:lang w:eastAsia="zh-CN"/>
        </w:rPr>
        <w:t>”</w:t>
      </w:r>
      <w:r>
        <w:rPr>
          <w:lang w:eastAsia="zh-CN"/>
        </w:rPr>
        <w:t>结构：交互层、数据层、查询映射层与呈现层；阐明多视图协同本质是同一潜在状态的多通道外显，地图、时间轴、结果面板与机制图应在一次状态迁移下同步刷新。方法层面将可视化编码明确为</w:t>
      </w:r>
      <w:r>
        <w:rPr>
          <w:lang w:eastAsia="zh-CN"/>
        </w:rPr>
        <w:t>“</w:t>
      </w:r>
      <w:r>
        <w:rPr>
          <w:lang w:eastAsia="zh-CN"/>
        </w:rPr>
        <w:t>归一化</w:t>
      </w:r>
      <w:r>
        <w:rPr>
          <w:lang w:eastAsia="zh-CN"/>
        </w:rPr>
        <w:t>—</w:t>
      </w:r>
      <w:r>
        <w:rPr>
          <w:lang w:eastAsia="zh-CN"/>
        </w:rPr>
        <w:t>通道映射</w:t>
      </w:r>
      <w:r>
        <w:rPr>
          <w:lang w:eastAsia="zh-CN"/>
        </w:rPr>
        <w:t>—</w:t>
      </w:r>
      <w:r>
        <w:rPr>
          <w:lang w:eastAsia="zh-CN"/>
        </w:rPr>
        <w:t>条件刷新</w:t>
      </w:r>
      <w:r>
        <w:rPr>
          <w:lang w:eastAsia="zh-CN"/>
        </w:rPr>
        <w:t>”</w:t>
      </w:r>
      <w:r>
        <w:rPr>
          <w:lang w:eastAsia="zh-CN"/>
        </w:rPr>
        <w:t>三步，给出区间归一化与颜色、高度映射公式，并提出</w:t>
      </w:r>
      <w:r>
        <w:rPr>
          <w:lang w:eastAsia="zh-CN"/>
        </w:rPr>
        <w:t>“</w:t>
      </w:r>
      <w:r>
        <w:rPr>
          <w:lang w:eastAsia="zh-CN"/>
        </w:rPr>
        <w:t>仅当状态向量变化才触发重绘</w:t>
      </w:r>
      <w:r>
        <w:rPr>
          <w:lang w:eastAsia="zh-CN"/>
        </w:rPr>
        <w:t>”</w:t>
      </w:r>
      <w:r>
        <w:rPr>
          <w:lang w:eastAsia="zh-CN"/>
        </w:rPr>
        <w:t>的条件刷新规则，与第三</w:t>
      </w:r>
      <w:proofErr w:type="gramStart"/>
      <w:r>
        <w:rPr>
          <w:lang w:eastAsia="zh-CN"/>
        </w:rPr>
        <w:t>章事件</w:t>
      </w:r>
      <w:proofErr w:type="gramEnd"/>
      <w:r>
        <w:rPr>
          <w:lang w:eastAsia="zh-CN"/>
        </w:rPr>
        <w:t>队列机制对齐；提出</w:t>
      </w:r>
      <w:r>
        <w:rPr>
          <w:lang w:eastAsia="zh-CN"/>
        </w:rPr>
        <w:t>“</w:t>
      </w:r>
      <w:r>
        <w:rPr>
          <w:lang w:eastAsia="zh-CN"/>
        </w:rPr>
        <w:t>性能</w:t>
      </w:r>
      <w:r>
        <w:rPr>
          <w:lang w:eastAsia="zh-CN"/>
        </w:rPr>
        <w:t>—</w:t>
      </w:r>
      <w:r>
        <w:rPr>
          <w:lang w:eastAsia="zh-CN"/>
        </w:rPr>
        <w:t>可读性</w:t>
      </w:r>
      <w:r>
        <w:rPr>
          <w:lang w:eastAsia="zh-CN"/>
        </w:rPr>
        <w:t>—</w:t>
      </w:r>
      <w:r>
        <w:rPr>
          <w:lang w:eastAsia="zh-CN"/>
        </w:rPr>
        <w:t>一致性</w:t>
      </w:r>
      <w:r>
        <w:rPr>
          <w:lang w:eastAsia="zh-CN"/>
        </w:rPr>
        <w:t>”</w:t>
      </w:r>
      <w:r>
        <w:rPr>
          <w:lang w:eastAsia="zh-CN"/>
        </w:rPr>
        <w:t>三维评价指标，为后续实验评估预留量化口径。</w:t>
      </w:r>
    </w:p>
    <w:p w14:paraId="7F929A59" w14:textId="77777777" w:rsidR="0099168E" w:rsidRDefault="00000000">
      <w:pPr>
        <w:rPr>
          <w:lang w:eastAsia="zh-CN"/>
        </w:rPr>
      </w:pPr>
      <w:r>
        <w:rPr>
          <w:lang w:eastAsia="zh-CN"/>
        </w:rPr>
        <w:t>实现层面已形成较完整的工程化叙述：省界矢量简化与</w:t>
      </w:r>
      <w:r>
        <w:rPr>
          <w:lang w:eastAsia="zh-CN"/>
        </w:rPr>
        <w:t xml:space="preserve"> Mesh </w:t>
      </w:r>
      <w:r>
        <w:rPr>
          <w:lang w:eastAsia="zh-CN"/>
        </w:rPr>
        <w:t>构建、省份编码与碰撞体拾取、</w:t>
      </w:r>
      <w:r>
        <w:rPr>
          <w:lang w:eastAsia="zh-CN"/>
        </w:rPr>
        <w:t xml:space="preserve">CSV/JSON </w:t>
      </w:r>
      <w:r>
        <w:rPr>
          <w:lang w:eastAsia="zh-CN"/>
        </w:rPr>
        <w:t>数据资产导入与一致性检查、</w:t>
      </w:r>
      <w:proofErr w:type="spellStart"/>
      <w:r>
        <w:rPr>
          <w:lang w:eastAsia="zh-CN"/>
        </w:rPr>
        <w:t>DataManager</w:t>
      </w:r>
      <w:proofErr w:type="spellEnd"/>
      <w:r>
        <w:rPr>
          <w:lang w:eastAsia="zh-CN"/>
        </w:rPr>
        <w:t xml:space="preserve"> </w:t>
      </w:r>
      <w:r>
        <w:rPr>
          <w:lang w:eastAsia="zh-CN"/>
        </w:rPr>
        <w:t>索引结构、时间轴控制器、区域筛选、结果面板与机制图联动、渲染与交互性能优化策略，以及</w:t>
      </w:r>
      <w:r>
        <w:rPr>
          <w:lang w:eastAsia="zh-CN"/>
        </w:rPr>
        <w:t xml:space="preserve"> Android/Rokid </w:t>
      </w:r>
      <w:r>
        <w:rPr>
          <w:lang w:eastAsia="zh-CN"/>
        </w:rPr>
        <w:t>平台的部署配置与运行监测记录线索。整体上，第四章将</w:t>
      </w:r>
      <w:r>
        <w:rPr>
          <w:lang w:eastAsia="zh-CN"/>
        </w:rPr>
        <w:t>“</w:t>
      </w:r>
      <w:r>
        <w:rPr>
          <w:lang w:eastAsia="zh-CN"/>
        </w:rPr>
        <w:t>如何把计量结果转化为可交互空间证据</w:t>
      </w:r>
      <w:r>
        <w:rPr>
          <w:lang w:eastAsia="zh-CN"/>
        </w:rPr>
        <w:t>”</w:t>
      </w:r>
      <w:r>
        <w:rPr>
          <w:lang w:eastAsia="zh-CN"/>
        </w:rPr>
        <w:t>从理念落实为可运行原型的技术说明。</w:t>
      </w:r>
    </w:p>
    <w:p w14:paraId="3638416B" w14:textId="77777777" w:rsidR="0099168E" w:rsidRDefault="00000000">
      <w:pPr>
        <w:pStyle w:val="21"/>
        <w:spacing w:before="120"/>
        <w:rPr>
          <w:lang w:eastAsia="zh-CN"/>
        </w:rPr>
      </w:pPr>
      <w:r>
        <w:rPr>
          <w:lang w:eastAsia="zh-CN"/>
        </w:rPr>
        <w:t>（四）数字经济对能源结构影响的实证研究</w:t>
      </w:r>
    </w:p>
    <w:p w14:paraId="27326DBB" w14:textId="77777777" w:rsidR="0099168E" w:rsidRDefault="00000000">
      <w:pPr>
        <w:rPr>
          <w:lang w:eastAsia="zh-CN"/>
        </w:rPr>
      </w:pPr>
      <w:r>
        <w:rPr>
          <w:lang w:eastAsia="zh-CN"/>
        </w:rPr>
        <w:t>已完成第五章</w:t>
      </w:r>
      <w:r>
        <w:rPr>
          <w:lang w:eastAsia="zh-CN"/>
        </w:rPr>
        <w:t>“</w:t>
      </w:r>
      <w:r>
        <w:rPr>
          <w:lang w:eastAsia="zh-CN"/>
        </w:rPr>
        <w:t>数字经济对能源结构优化的影响研究</w:t>
      </w:r>
      <w:r>
        <w:rPr>
          <w:lang w:eastAsia="zh-CN"/>
        </w:rPr>
        <w:t>”</w:t>
      </w:r>
      <w:r>
        <w:rPr>
          <w:lang w:eastAsia="zh-CN"/>
        </w:rPr>
        <w:t>的主体内容，包括理论分析与研究假说、研究设计、指标体系与数据说明、指数构建与对照讨论、实证结果与稳健性拓展，以及实证结果在</w:t>
      </w:r>
      <w:r>
        <w:rPr>
          <w:lang w:eastAsia="zh-CN"/>
        </w:rPr>
        <w:t xml:space="preserve"> AR </w:t>
      </w:r>
      <w:r>
        <w:rPr>
          <w:lang w:eastAsia="zh-CN"/>
        </w:rPr>
        <w:t>中的任务化呈现路径。</w:t>
      </w:r>
    </w:p>
    <w:p w14:paraId="54A859D4" w14:textId="77777777" w:rsidR="0099168E" w:rsidRDefault="00000000">
      <w:pPr>
        <w:rPr>
          <w:lang w:eastAsia="zh-CN"/>
        </w:rPr>
      </w:pPr>
      <w:r>
        <w:rPr>
          <w:lang w:eastAsia="zh-CN"/>
        </w:rPr>
        <w:t>数据方面，基于</w:t>
      </w:r>
      <w:r>
        <w:rPr>
          <w:lang w:eastAsia="zh-CN"/>
        </w:rPr>
        <w:t xml:space="preserve"> 2014—2022 </w:t>
      </w:r>
      <w:r>
        <w:rPr>
          <w:lang w:eastAsia="zh-CN"/>
        </w:rPr>
        <w:t>年中国</w:t>
      </w:r>
      <w:r>
        <w:rPr>
          <w:lang w:eastAsia="zh-CN"/>
        </w:rPr>
        <w:t xml:space="preserve"> 30 </w:t>
      </w:r>
      <w:proofErr w:type="gramStart"/>
      <w:r>
        <w:rPr>
          <w:lang w:eastAsia="zh-CN"/>
        </w:rPr>
        <w:t>个</w:t>
      </w:r>
      <w:proofErr w:type="gramEnd"/>
      <w:r>
        <w:rPr>
          <w:lang w:eastAsia="zh-CN"/>
        </w:rPr>
        <w:t>省份面板样本（西藏与港澳台除外），说明主要数据来源、变量定义与控制变量选取，并完成描述性统计与相关性分析材</w:t>
      </w:r>
      <w:r>
        <w:rPr>
          <w:lang w:eastAsia="zh-CN"/>
        </w:rPr>
        <w:lastRenderedPageBreak/>
        <w:t>料组织。测度方面，构建数字经济与能源结构评价指标体系；数字经济</w:t>
      </w:r>
      <w:proofErr w:type="gramStart"/>
      <w:r>
        <w:rPr>
          <w:lang w:eastAsia="zh-CN"/>
        </w:rPr>
        <w:t>侧采用熵</w:t>
      </w:r>
      <w:proofErr w:type="gramEnd"/>
      <w:r>
        <w:rPr>
          <w:lang w:eastAsia="zh-CN"/>
        </w:rPr>
        <w:t>值法客观赋权，并引入</w:t>
      </w:r>
      <w:proofErr w:type="gramStart"/>
      <w:r>
        <w:rPr>
          <w:lang w:eastAsia="zh-CN"/>
        </w:rPr>
        <w:t>熵权</w:t>
      </w:r>
      <w:r>
        <w:rPr>
          <w:lang w:eastAsia="zh-CN"/>
        </w:rPr>
        <w:t>—</w:t>
      </w:r>
      <w:proofErr w:type="gramEnd"/>
      <w:r>
        <w:rPr>
          <w:lang w:eastAsia="zh-CN"/>
        </w:rPr>
        <w:t>决策树融合对分项权重进行监督式二次优化，以能源结构综合指数作为监督信号，形成</w:t>
      </w:r>
      <w:r>
        <w:rPr>
          <w:lang w:eastAsia="zh-CN"/>
        </w:rPr>
        <w:t>“</w:t>
      </w:r>
      <w:r>
        <w:rPr>
          <w:lang w:eastAsia="zh-CN"/>
        </w:rPr>
        <w:t>客观初权</w:t>
      </w:r>
      <w:r>
        <w:rPr>
          <w:lang w:eastAsia="zh-CN"/>
        </w:rPr>
        <w:t xml:space="preserve"> + </w:t>
      </w:r>
      <w:r>
        <w:rPr>
          <w:lang w:eastAsia="zh-CN"/>
        </w:rPr>
        <w:t>数据校准</w:t>
      </w:r>
      <w:r>
        <w:rPr>
          <w:lang w:eastAsia="zh-CN"/>
        </w:rPr>
        <w:t>”</w:t>
      </w:r>
      <w:r>
        <w:rPr>
          <w:lang w:eastAsia="zh-CN"/>
        </w:rPr>
        <w:t>的可对照链条，并通过不同合成口径的样本内拟合指标对比论证该方法相对</w:t>
      </w:r>
      <w:proofErr w:type="gramStart"/>
      <w:r>
        <w:rPr>
          <w:lang w:eastAsia="zh-CN"/>
        </w:rPr>
        <w:t>纯熵权的</w:t>
      </w:r>
      <w:proofErr w:type="gramEnd"/>
      <w:r>
        <w:rPr>
          <w:lang w:eastAsia="zh-CN"/>
        </w:rPr>
        <w:t>增益及与高拟合树模型不宜替代因果识别主模型的边界。</w:t>
      </w:r>
    </w:p>
    <w:p w14:paraId="598AEB03" w14:textId="77777777" w:rsidR="0099168E" w:rsidRDefault="00000000">
      <w:pPr>
        <w:rPr>
          <w:lang w:eastAsia="zh-CN"/>
        </w:rPr>
      </w:pPr>
      <w:r>
        <w:rPr>
          <w:lang w:eastAsia="zh-CN"/>
        </w:rPr>
        <w:t>实证方面，在省份固定效应框架下完成基准回归，检验数字经济对能源结构优化的影响方向；引入平方</w:t>
      </w:r>
      <w:proofErr w:type="gramStart"/>
      <w:r>
        <w:rPr>
          <w:lang w:eastAsia="zh-CN"/>
        </w:rPr>
        <w:t>项完成</w:t>
      </w:r>
      <w:proofErr w:type="gramEnd"/>
      <w:r>
        <w:rPr>
          <w:lang w:eastAsia="zh-CN"/>
        </w:rPr>
        <w:t>倒</w:t>
      </w:r>
      <w:r>
        <w:rPr>
          <w:lang w:eastAsia="zh-CN"/>
        </w:rPr>
        <w:t xml:space="preserve"> U </w:t>
      </w:r>
      <w:r>
        <w:rPr>
          <w:lang w:eastAsia="zh-CN"/>
        </w:rPr>
        <w:t>型关系检验并给出拐点计算与分省讨论；完成中介效应分析以讨论技术创新等传导路径；完成滞后一期、缩尾、剔除异常年份与工具变量思路等稳健性检验；完成东部、中部、西部、东北区域分组回归以刻画异质性。为与系统原型对齐，撰写</w:t>
      </w:r>
      <w:r>
        <w:rPr>
          <w:lang w:eastAsia="zh-CN"/>
        </w:rPr>
        <w:t>“</w:t>
      </w:r>
      <w:r>
        <w:rPr>
          <w:lang w:eastAsia="zh-CN"/>
        </w:rPr>
        <w:t>实证结果的</w:t>
      </w:r>
      <w:r>
        <w:rPr>
          <w:lang w:eastAsia="zh-CN"/>
        </w:rPr>
        <w:t xml:space="preserve"> AR </w:t>
      </w:r>
      <w:r>
        <w:rPr>
          <w:lang w:eastAsia="zh-CN"/>
        </w:rPr>
        <w:t>可视化呈现</w:t>
      </w:r>
      <w:r>
        <w:rPr>
          <w:lang w:eastAsia="zh-CN"/>
        </w:rPr>
        <w:t>”</w:t>
      </w:r>
      <w:r>
        <w:rPr>
          <w:lang w:eastAsia="zh-CN"/>
        </w:rPr>
        <w:t>一节，以一次可复现沉浸分析会话为线索，将全国格局把握、计量证据核对、区域差异讨论与省域下钻阅读串联为完整操作流程，并归纳多模态输入、空间异质性呈现、时间轴联动与性能体验等要点对照表。</w:t>
      </w:r>
    </w:p>
    <w:p w14:paraId="4166B97E" w14:textId="77777777" w:rsidR="0099168E" w:rsidRDefault="00000000">
      <w:pPr>
        <w:pStyle w:val="21"/>
        <w:spacing w:before="120"/>
        <w:rPr>
          <w:lang w:eastAsia="zh-CN"/>
        </w:rPr>
      </w:pPr>
      <w:r>
        <w:rPr>
          <w:lang w:eastAsia="zh-CN"/>
        </w:rPr>
        <w:t>（五）总结与展望及阶段性综合成果</w:t>
      </w:r>
    </w:p>
    <w:p w14:paraId="1CE6E3BA" w14:textId="77777777" w:rsidR="0099168E" w:rsidRDefault="00000000">
      <w:pPr>
        <w:rPr>
          <w:lang w:eastAsia="zh-CN"/>
        </w:rPr>
      </w:pPr>
      <w:r>
        <w:rPr>
          <w:lang w:eastAsia="zh-CN"/>
        </w:rPr>
        <w:t>已完成总结章对全文贡献的归纳，从学术结论、工程方法创新与数据治理取向三方面概括研究价值；从数据测度、因果识别复杂度、系统评估样本与软硬件绑定、伦理合</w:t>
      </w:r>
      <w:proofErr w:type="gramStart"/>
      <w:r>
        <w:rPr>
          <w:lang w:eastAsia="zh-CN"/>
        </w:rPr>
        <w:t>规</w:t>
      </w:r>
      <w:proofErr w:type="gramEnd"/>
      <w:r>
        <w:rPr>
          <w:lang w:eastAsia="zh-CN"/>
        </w:rPr>
        <w:t>等角度总结局限性；并提出在数据延长与尺度下沉、空间计量与门槛等拓展、系统版本化与多端协同、可信人机协同评测等方向的后续工作设想。</w:t>
      </w:r>
    </w:p>
    <w:p w14:paraId="60BB1EF3" w14:textId="77777777" w:rsidR="0099168E" w:rsidRDefault="00000000">
      <w:pPr>
        <w:rPr>
          <w:lang w:eastAsia="zh-CN"/>
        </w:rPr>
      </w:pPr>
      <w:r>
        <w:rPr>
          <w:lang w:eastAsia="zh-CN"/>
        </w:rPr>
        <w:t>综合而言，中期阶段已在</w:t>
      </w:r>
      <w:r>
        <w:rPr>
          <w:lang w:eastAsia="zh-CN"/>
        </w:rPr>
        <w:t>“</w:t>
      </w:r>
      <w:r>
        <w:rPr>
          <w:lang w:eastAsia="zh-CN"/>
        </w:rPr>
        <w:t>论文叙事完整性</w:t>
      </w:r>
      <w:r>
        <w:rPr>
          <w:lang w:eastAsia="zh-CN"/>
        </w:rPr>
        <w:t>”</w:t>
      </w:r>
      <w:r>
        <w:rPr>
          <w:lang w:eastAsia="zh-CN"/>
        </w:rPr>
        <w:t>和</w:t>
      </w:r>
      <w:r>
        <w:rPr>
          <w:lang w:eastAsia="zh-CN"/>
        </w:rPr>
        <w:t>“</w:t>
      </w:r>
      <w:r>
        <w:rPr>
          <w:lang w:eastAsia="zh-CN"/>
        </w:rPr>
        <w:t>原型可运行性</w:t>
      </w:r>
      <w:r>
        <w:rPr>
          <w:lang w:eastAsia="zh-CN"/>
        </w:rPr>
        <w:t>”</w:t>
      </w:r>
      <w:r>
        <w:rPr>
          <w:lang w:eastAsia="zh-CN"/>
        </w:rPr>
        <w:t>两侧同步推进：论文</w:t>
      </w:r>
      <w:proofErr w:type="gramStart"/>
      <w:r>
        <w:rPr>
          <w:lang w:eastAsia="zh-CN"/>
        </w:rPr>
        <w:t>侧形成</w:t>
      </w:r>
      <w:proofErr w:type="gramEnd"/>
      <w:r>
        <w:rPr>
          <w:lang w:eastAsia="zh-CN"/>
        </w:rPr>
        <w:t>从引言、理论基础、交互设计、可视化系统到实证与总结的章节链条；工程</w:t>
      </w:r>
      <w:proofErr w:type="gramStart"/>
      <w:r>
        <w:rPr>
          <w:lang w:eastAsia="zh-CN"/>
        </w:rPr>
        <w:t>侧形成</w:t>
      </w:r>
      <w:proofErr w:type="gramEnd"/>
      <w:r>
        <w:rPr>
          <w:lang w:eastAsia="zh-CN"/>
        </w:rPr>
        <w:t>与论文变量口径一致的数据资产与</w:t>
      </w:r>
      <w:r>
        <w:rPr>
          <w:lang w:eastAsia="zh-CN"/>
        </w:rPr>
        <w:t xml:space="preserve"> Unity—Rokid </w:t>
      </w:r>
      <w:r>
        <w:rPr>
          <w:lang w:eastAsia="zh-CN"/>
        </w:rPr>
        <w:t>原型路径，并给出性能监测与任务化阅读说明，为后期答辩展示提供可用载体。</w:t>
      </w:r>
    </w:p>
    <w:p w14:paraId="059F3BF4" w14:textId="77777777" w:rsidR="0099168E" w:rsidRDefault="00000000">
      <w:pPr>
        <w:rPr>
          <w:lang w:eastAsia="zh-CN"/>
        </w:rPr>
      </w:pPr>
      <w:r>
        <w:rPr>
          <w:lang w:eastAsia="zh-CN"/>
        </w:rPr>
        <w:t>此外，在研究表达上已初步落实两项写作原则：一是</w:t>
      </w:r>
      <w:r>
        <w:rPr>
          <w:lang w:eastAsia="zh-CN"/>
        </w:rPr>
        <w:t>“</w:t>
      </w:r>
      <w:r>
        <w:rPr>
          <w:lang w:eastAsia="zh-CN"/>
        </w:rPr>
        <w:t>证据一致性</w:t>
      </w:r>
      <w:r>
        <w:rPr>
          <w:lang w:eastAsia="zh-CN"/>
        </w:rPr>
        <w:t>”</w:t>
      </w:r>
      <w:r>
        <w:rPr>
          <w:lang w:eastAsia="zh-CN"/>
        </w:rPr>
        <w:t>，即地图着色、时间轴切换与结果面板中的数值、符号与显著性标注，均应以同一套导出结果与字段字典为唯一来源，避免沉浸</w:t>
      </w:r>
      <w:proofErr w:type="gramStart"/>
      <w:r>
        <w:rPr>
          <w:lang w:eastAsia="zh-CN"/>
        </w:rPr>
        <w:t>展示因</w:t>
      </w:r>
      <w:proofErr w:type="gramEnd"/>
      <w:r>
        <w:rPr>
          <w:lang w:eastAsia="zh-CN"/>
        </w:rPr>
        <w:t>追求观感而削弱学术核对功能；二是</w:t>
      </w:r>
      <w:r>
        <w:rPr>
          <w:lang w:eastAsia="zh-CN"/>
        </w:rPr>
        <w:t>“</w:t>
      </w:r>
      <w:r>
        <w:rPr>
          <w:lang w:eastAsia="zh-CN"/>
        </w:rPr>
        <w:t>操作可追溯性</w:t>
      </w:r>
      <w:r>
        <w:rPr>
          <w:lang w:eastAsia="zh-CN"/>
        </w:rPr>
        <w:t>”</w:t>
      </w:r>
      <w:r>
        <w:rPr>
          <w:lang w:eastAsia="zh-CN"/>
        </w:rPr>
        <w:t>，即强调状态迁移与事件队列的串行化设计，使每一次视图刷新都能回放到明确的交互输入与状态更新，从而与计量分析强调的严谨性相匹配。上述原</w:t>
      </w:r>
      <w:r>
        <w:rPr>
          <w:lang w:eastAsia="zh-CN"/>
        </w:rPr>
        <w:lastRenderedPageBreak/>
        <w:t>则不仅服务于论文方法章节的自洽叙述，也为后续用户实验中的任务设计与错误归因提供可记录、可分析的底层依据。</w:t>
      </w:r>
    </w:p>
    <w:p w14:paraId="48CBB3CA" w14:textId="77777777" w:rsidR="0099168E" w:rsidRDefault="00000000">
      <w:pPr>
        <w:pStyle w:val="1"/>
        <w:spacing w:before="240"/>
        <w:rPr>
          <w:lang w:eastAsia="zh-CN"/>
        </w:rPr>
      </w:pPr>
      <w:r>
        <w:rPr>
          <w:lang w:eastAsia="zh-CN"/>
        </w:rPr>
        <w:t>三、尚须完成的主要任务</w:t>
      </w:r>
    </w:p>
    <w:p w14:paraId="49BD3668" w14:textId="77777777" w:rsidR="0099168E" w:rsidRDefault="00000000">
      <w:pPr>
        <w:rPr>
          <w:lang w:eastAsia="zh-CN"/>
        </w:rPr>
      </w:pPr>
      <w:r>
        <w:rPr>
          <w:lang w:eastAsia="zh-CN"/>
        </w:rPr>
        <w:t>第一，全文一致性校对与格式规范化。需对正文、表格与系统展示字段中的关键系数、拐点、分组结论进行逐条核对，统一术语、图表编号与参考文献格式，按学院要求完善中英文摘要、关键词、目录与图表清单。</w:t>
      </w:r>
    </w:p>
    <w:p w14:paraId="7ADD0E71" w14:textId="77777777" w:rsidR="0099168E" w:rsidRDefault="00000000">
      <w:pPr>
        <w:rPr>
          <w:lang w:eastAsia="zh-CN"/>
        </w:rPr>
      </w:pPr>
      <w:r>
        <w:rPr>
          <w:lang w:eastAsia="zh-CN"/>
        </w:rPr>
        <w:t>第二，补充材料与证据链强化。视评审与答辩要求，整理更完整的空间计量或对照模型附录，完善工具变量相关检验要素的规范呈现；对用户实验方案、被试招募、问卷与统计检验进行成稿化撰写，以量化方式支撑</w:t>
      </w:r>
      <w:r>
        <w:rPr>
          <w:lang w:eastAsia="zh-CN"/>
        </w:rPr>
        <w:t>“</w:t>
      </w:r>
      <w:r>
        <w:rPr>
          <w:lang w:eastAsia="zh-CN"/>
        </w:rPr>
        <w:t>沉浸阅读是否降低理解成本</w:t>
      </w:r>
      <w:r>
        <w:rPr>
          <w:lang w:eastAsia="zh-CN"/>
        </w:rPr>
        <w:t>”</w:t>
      </w:r>
      <w:r>
        <w:rPr>
          <w:lang w:eastAsia="zh-CN"/>
        </w:rPr>
        <w:t>的命题。</w:t>
      </w:r>
    </w:p>
    <w:p w14:paraId="0D7FFD04" w14:textId="77777777" w:rsidR="0099168E" w:rsidRDefault="00000000">
      <w:pPr>
        <w:rPr>
          <w:lang w:eastAsia="zh-CN"/>
        </w:rPr>
      </w:pPr>
      <w:r>
        <w:rPr>
          <w:lang w:eastAsia="zh-CN"/>
        </w:rPr>
        <w:t>第三，系统评估与可复现交付整理。需完成小规模用户测试并形成图表化结果；整理工程运行说明、数据字段说明、依赖版本与启动步骤，形成可追溯的附录或开源说明，降低他人复核成本。</w:t>
      </w:r>
    </w:p>
    <w:p w14:paraId="021A2E97" w14:textId="77777777" w:rsidR="0099168E" w:rsidRDefault="00000000">
      <w:pPr>
        <w:rPr>
          <w:lang w:eastAsia="zh-CN"/>
        </w:rPr>
      </w:pPr>
      <w:r>
        <w:rPr>
          <w:lang w:eastAsia="zh-CN"/>
        </w:rPr>
        <w:t>第四，定稿前质量把控。完成查重、图表清晰度检查、公式与引用复核，并根据中期检查意见形成修改清单与后续时间节点安排。</w:t>
      </w:r>
    </w:p>
    <w:p w14:paraId="417A09CF" w14:textId="77777777" w:rsidR="0099168E" w:rsidRDefault="00000000">
      <w:pPr>
        <w:pStyle w:val="1"/>
        <w:spacing w:before="240"/>
        <w:rPr>
          <w:lang w:eastAsia="zh-CN"/>
        </w:rPr>
      </w:pPr>
      <w:r>
        <w:rPr>
          <w:lang w:eastAsia="zh-CN"/>
        </w:rPr>
        <w:t>四、目前存在的问题</w:t>
      </w:r>
    </w:p>
    <w:p w14:paraId="01D71176" w14:textId="77777777" w:rsidR="0099168E" w:rsidRDefault="00000000">
      <w:pPr>
        <w:rPr>
          <w:lang w:eastAsia="zh-CN"/>
        </w:rPr>
      </w:pPr>
      <w:r>
        <w:rPr>
          <w:lang w:eastAsia="zh-CN"/>
        </w:rPr>
        <w:t>在研究层面，主文以固定效应框架及拓展检验为主，对严格空间推断模型仍以讨论与后续拓展方向呈现为主，若遇到更严格审稿标准，可能需要附录模型补强；倒</w:t>
      </w:r>
      <w:r>
        <w:rPr>
          <w:lang w:eastAsia="zh-CN"/>
        </w:rPr>
        <w:t xml:space="preserve"> U </w:t>
      </w:r>
      <w:r>
        <w:rPr>
          <w:lang w:eastAsia="zh-CN"/>
        </w:rPr>
        <w:t>型结论对函数形式与样本区间较敏感，拐点附近的政策含义外推需谨慎；部分区域子样本量较小，分组回归解释力度有限，需避免过度解读。</w:t>
      </w:r>
    </w:p>
    <w:p w14:paraId="32C59C62" w14:textId="77777777" w:rsidR="0099168E" w:rsidRDefault="00000000">
      <w:pPr>
        <w:rPr>
          <w:lang w:eastAsia="zh-CN"/>
        </w:rPr>
      </w:pPr>
      <w:r>
        <w:rPr>
          <w:lang w:eastAsia="zh-CN"/>
        </w:rPr>
        <w:t>在测度层面，</w:t>
      </w:r>
      <w:proofErr w:type="gramStart"/>
      <w:r>
        <w:rPr>
          <w:lang w:eastAsia="zh-CN"/>
        </w:rPr>
        <w:t>熵权</w:t>
      </w:r>
      <w:r>
        <w:rPr>
          <w:lang w:eastAsia="zh-CN"/>
        </w:rPr>
        <w:t>—</w:t>
      </w:r>
      <w:proofErr w:type="gramEnd"/>
      <w:r>
        <w:rPr>
          <w:lang w:eastAsia="zh-CN"/>
        </w:rPr>
        <w:t>决策树融合</w:t>
      </w:r>
      <w:proofErr w:type="gramStart"/>
      <w:r>
        <w:rPr>
          <w:lang w:eastAsia="zh-CN"/>
        </w:rPr>
        <w:t>受树模型超</w:t>
      </w:r>
      <w:proofErr w:type="gramEnd"/>
      <w:r>
        <w:rPr>
          <w:lang w:eastAsia="zh-CN"/>
        </w:rPr>
        <w:t>参数、</w:t>
      </w:r>
      <w:proofErr w:type="gramStart"/>
      <w:r>
        <w:rPr>
          <w:lang w:eastAsia="zh-CN"/>
        </w:rPr>
        <w:t>缺失值处理</w:t>
      </w:r>
      <w:proofErr w:type="gramEnd"/>
      <w:r>
        <w:rPr>
          <w:lang w:eastAsia="zh-CN"/>
        </w:rPr>
        <w:t>与标准化方式影响，指数稳定性与敏感性披露仍需更系统整理，以降低</w:t>
      </w:r>
      <w:r>
        <w:rPr>
          <w:lang w:eastAsia="zh-CN"/>
        </w:rPr>
        <w:t>“</w:t>
      </w:r>
      <w:r>
        <w:rPr>
          <w:lang w:eastAsia="zh-CN"/>
        </w:rPr>
        <w:t>参数驱动结论</w:t>
      </w:r>
      <w:r>
        <w:rPr>
          <w:lang w:eastAsia="zh-CN"/>
        </w:rPr>
        <w:t>”</w:t>
      </w:r>
      <w:r>
        <w:rPr>
          <w:lang w:eastAsia="zh-CN"/>
        </w:rPr>
        <w:t>的质疑风险。</w:t>
      </w:r>
    </w:p>
    <w:p w14:paraId="620D1E23" w14:textId="77777777" w:rsidR="0099168E" w:rsidRDefault="00000000">
      <w:pPr>
        <w:rPr>
          <w:lang w:eastAsia="zh-CN"/>
        </w:rPr>
      </w:pPr>
      <w:r>
        <w:rPr>
          <w:lang w:eastAsia="zh-CN"/>
        </w:rPr>
        <w:t>在系统层面，</w:t>
      </w:r>
      <w:r>
        <w:rPr>
          <w:lang w:eastAsia="zh-CN"/>
        </w:rPr>
        <w:t xml:space="preserve">AR </w:t>
      </w:r>
      <w:proofErr w:type="gramStart"/>
      <w:r>
        <w:rPr>
          <w:lang w:eastAsia="zh-CN"/>
        </w:rPr>
        <w:t>交互受</w:t>
      </w:r>
      <w:proofErr w:type="gramEnd"/>
      <w:r>
        <w:rPr>
          <w:lang w:eastAsia="zh-CN"/>
        </w:rPr>
        <w:t>光照、遮挡与环境噪声影响，语音识别与手势稳定性仍存在边界条件；大模型在纠错与解释环节需持续防范幻觉与越权改写风险，并在涉及语音与日志场景关注隐私与合</w:t>
      </w:r>
      <w:proofErr w:type="gramStart"/>
      <w:r>
        <w:rPr>
          <w:lang w:eastAsia="zh-CN"/>
        </w:rPr>
        <w:t>规</w:t>
      </w:r>
      <w:proofErr w:type="gramEnd"/>
      <w:r>
        <w:rPr>
          <w:lang w:eastAsia="zh-CN"/>
        </w:rPr>
        <w:t>问题。</w:t>
      </w:r>
    </w:p>
    <w:p w14:paraId="2C4A20F3" w14:textId="77777777" w:rsidR="0099168E" w:rsidRDefault="00000000">
      <w:pPr>
        <w:rPr>
          <w:lang w:eastAsia="zh-CN"/>
        </w:rPr>
      </w:pPr>
      <w:r>
        <w:rPr>
          <w:lang w:eastAsia="zh-CN"/>
        </w:rPr>
        <w:lastRenderedPageBreak/>
        <w:t>在评估层面，当前材料以工程走查与性能监测为主，缺乏成规模第三</w:t>
      </w:r>
      <w:proofErr w:type="gramStart"/>
      <w:r>
        <w:rPr>
          <w:lang w:eastAsia="zh-CN"/>
        </w:rPr>
        <w:t>方用户</w:t>
      </w:r>
      <w:proofErr w:type="gramEnd"/>
      <w:r>
        <w:rPr>
          <w:lang w:eastAsia="zh-CN"/>
        </w:rPr>
        <w:t>实验数据，对系统可用性与理解提升效果的证据仍需加强。</w:t>
      </w:r>
    </w:p>
    <w:p w14:paraId="32DEC3E6" w14:textId="77777777" w:rsidR="0099168E" w:rsidRDefault="00000000">
      <w:pPr>
        <w:pStyle w:val="1"/>
        <w:spacing w:before="240"/>
        <w:rPr>
          <w:lang w:eastAsia="zh-CN"/>
        </w:rPr>
      </w:pPr>
      <w:r>
        <w:rPr>
          <w:lang w:eastAsia="zh-CN"/>
        </w:rPr>
        <w:t>五、拟采取的对策与下一步工作安排</w:t>
      </w:r>
    </w:p>
    <w:p w14:paraId="270E1C2F" w14:textId="77777777" w:rsidR="0099168E" w:rsidRDefault="00000000">
      <w:pPr>
        <w:rPr>
          <w:lang w:eastAsia="zh-CN"/>
        </w:rPr>
      </w:pPr>
      <w:r>
        <w:rPr>
          <w:lang w:eastAsia="zh-CN"/>
        </w:rPr>
        <w:t>第一，建立</w:t>
      </w:r>
      <w:r>
        <w:rPr>
          <w:lang w:eastAsia="zh-CN"/>
        </w:rPr>
        <w:t>“</w:t>
      </w:r>
      <w:r>
        <w:rPr>
          <w:lang w:eastAsia="zh-CN"/>
        </w:rPr>
        <w:t>结论</w:t>
      </w:r>
      <w:r>
        <w:rPr>
          <w:lang w:eastAsia="zh-CN"/>
        </w:rPr>
        <w:t>—</w:t>
      </w:r>
      <w:r>
        <w:rPr>
          <w:lang w:eastAsia="zh-CN"/>
        </w:rPr>
        <w:t>表格</w:t>
      </w:r>
      <w:r>
        <w:rPr>
          <w:lang w:eastAsia="zh-CN"/>
        </w:rPr>
        <w:t>—</w:t>
      </w:r>
      <w:r>
        <w:rPr>
          <w:lang w:eastAsia="zh-CN"/>
        </w:rPr>
        <w:t>数据资产</w:t>
      </w:r>
      <w:r>
        <w:rPr>
          <w:lang w:eastAsia="zh-CN"/>
        </w:rPr>
        <w:t>—</w:t>
      </w:r>
      <w:r>
        <w:rPr>
          <w:lang w:eastAsia="zh-CN"/>
        </w:rPr>
        <w:t>系统面板</w:t>
      </w:r>
      <w:r>
        <w:rPr>
          <w:lang w:eastAsia="zh-CN"/>
        </w:rPr>
        <w:t>”</w:t>
      </w:r>
      <w:r>
        <w:rPr>
          <w:lang w:eastAsia="zh-CN"/>
        </w:rPr>
        <w:t>对照清单，将关键统计输出作为单一可信来源，任何更新同步反映到正文、附录与原型读取字段，确保口径一致。</w:t>
      </w:r>
    </w:p>
    <w:p w14:paraId="635BF171" w14:textId="77777777" w:rsidR="0099168E" w:rsidRDefault="00000000">
      <w:pPr>
        <w:rPr>
          <w:lang w:eastAsia="zh-CN"/>
        </w:rPr>
      </w:pPr>
      <w:r>
        <w:rPr>
          <w:lang w:eastAsia="zh-CN"/>
        </w:rPr>
        <w:t>第二，计量拓展采取</w:t>
      </w:r>
      <w:r>
        <w:rPr>
          <w:lang w:eastAsia="zh-CN"/>
        </w:rPr>
        <w:t>“</w:t>
      </w:r>
      <w:r>
        <w:rPr>
          <w:lang w:eastAsia="zh-CN"/>
        </w:rPr>
        <w:t>主文清晰</w:t>
      </w:r>
      <w:r>
        <w:rPr>
          <w:lang w:eastAsia="zh-CN"/>
        </w:rPr>
        <w:t xml:space="preserve"> + </w:t>
      </w:r>
      <w:r>
        <w:rPr>
          <w:lang w:eastAsia="zh-CN"/>
        </w:rPr>
        <w:t>附录对照</w:t>
      </w:r>
      <w:r>
        <w:rPr>
          <w:lang w:eastAsia="zh-CN"/>
        </w:rPr>
        <w:t>”</w:t>
      </w:r>
      <w:r>
        <w:rPr>
          <w:lang w:eastAsia="zh-CN"/>
        </w:rPr>
        <w:t>策略：在不改变主线叙事前提下补充必要的空间模型或敏感性分析，并完善工具变量检验报告要素，回应常见审稿关切。</w:t>
      </w:r>
    </w:p>
    <w:p w14:paraId="594A68FF" w14:textId="77777777" w:rsidR="0099168E" w:rsidRDefault="00000000">
      <w:pPr>
        <w:rPr>
          <w:lang w:eastAsia="zh-CN"/>
        </w:rPr>
      </w:pPr>
      <w:r>
        <w:rPr>
          <w:lang w:eastAsia="zh-CN"/>
        </w:rPr>
        <w:t>第三，测度方面补充参数敏感性测试与对照口径说明，公开关键处理规则与稳健性结果，增强指数构建与回归结论的可复核性。</w:t>
      </w:r>
    </w:p>
    <w:p w14:paraId="16AADC86" w14:textId="77777777" w:rsidR="0099168E" w:rsidRDefault="00000000">
      <w:pPr>
        <w:rPr>
          <w:lang w:eastAsia="zh-CN"/>
        </w:rPr>
      </w:pPr>
      <w:r>
        <w:rPr>
          <w:lang w:eastAsia="zh-CN"/>
        </w:rPr>
        <w:t>第四，系统方面</w:t>
      </w:r>
      <w:proofErr w:type="gramStart"/>
      <w:r>
        <w:rPr>
          <w:lang w:eastAsia="zh-CN"/>
        </w:rPr>
        <w:t>优化拒识与</w:t>
      </w:r>
      <w:proofErr w:type="gramEnd"/>
      <w:r>
        <w:rPr>
          <w:lang w:eastAsia="zh-CN"/>
        </w:rPr>
        <w:t>确认策略，强化白名单动作与模板化输出，完善日志与轻提示反馈；在小样本用户测试中迭代任务脚本与交互参数，平衡低</w:t>
      </w:r>
      <w:proofErr w:type="gramStart"/>
      <w:r>
        <w:rPr>
          <w:lang w:eastAsia="zh-CN"/>
        </w:rPr>
        <w:t>误触与响应</w:t>
      </w:r>
      <w:proofErr w:type="gramEnd"/>
      <w:r>
        <w:rPr>
          <w:lang w:eastAsia="zh-CN"/>
        </w:rPr>
        <w:t>时延。</w:t>
      </w:r>
    </w:p>
    <w:p w14:paraId="33DACB02" w14:textId="77777777" w:rsidR="0099168E" w:rsidRDefault="00000000">
      <w:pPr>
        <w:rPr>
          <w:lang w:eastAsia="zh-CN"/>
        </w:rPr>
      </w:pPr>
      <w:r>
        <w:rPr>
          <w:lang w:eastAsia="zh-CN"/>
        </w:rPr>
        <w:t>第五，写作与进度管理方面，优先锁定结论与数据口径，再集中完成用户实验与附录材料，最后统一润色格式与查重，按周节点推进直至定稿。</w:t>
      </w:r>
    </w:p>
    <w:p w14:paraId="6BAAECC2" w14:textId="77777777" w:rsidR="0099168E" w:rsidRDefault="00000000">
      <w:pPr>
        <w:pStyle w:val="1"/>
        <w:spacing w:before="240"/>
        <w:rPr>
          <w:lang w:eastAsia="zh-CN"/>
        </w:rPr>
      </w:pPr>
      <w:r>
        <w:rPr>
          <w:lang w:eastAsia="zh-CN"/>
        </w:rPr>
        <w:t>六、中期阶段小结</w:t>
      </w:r>
    </w:p>
    <w:p w14:paraId="01158E61" w14:textId="210E98A1" w:rsidR="0099168E" w:rsidRDefault="00000000" w:rsidP="009D1E15">
      <w:pPr>
        <w:rPr>
          <w:rFonts w:hint="eastAsia"/>
          <w:lang w:eastAsia="zh-CN"/>
        </w:rPr>
      </w:pPr>
      <w:r>
        <w:rPr>
          <w:lang w:eastAsia="zh-CN"/>
        </w:rPr>
        <w:t>截至目前，本课题已完成论文主体章节撰写与</w:t>
      </w:r>
      <w:r>
        <w:rPr>
          <w:lang w:eastAsia="zh-CN"/>
        </w:rPr>
        <w:t xml:space="preserve"> AR </w:t>
      </w:r>
      <w:r>
        <w:rPr>
          <w:lang w:eastAsia="zh-CN"/>
        </w:rPr>
        <w:t>原型系统主要功能实现，形成</w:t>
      </w:r>
      <w:r>
        <w:rPr>
          <w:lang w:eastAsia="zh-CN"/>
        </w:rPr>
        <w:t>“</w:t>
      </w:r>
      <w:r>
        <w:rPr>
          <w:lang w:eastAsia="zh-CN"/>
        </w:rPr>
        <w:t>测度</w:t>
      </w:r>
      <w:r>
        <w:rPr>
          <w:lang w:eastAsia="zh-CN"/>
        </w:rPr>
        <w:t>—</w:t>
      </w:r>
      <w:r>
        <w:rPr>
          <w:lang w:eastAsia="zh-CN"/>
        </w:rPr>
        <w:t>识别</w:t>
      </w:r>
      <w:r>
        <w:rPr>
          <w:lang w:eastAsia="zh-CN"/>
        </w:rPr>
        <w:t>—</w:t>
      </w:r>
      <w:r>
        <w:rPr>
          <w:lang w:eastAsia="zh-CN"/>
        </w:rPr>
        <w:t>拓展</w:t>
      </w:r>
      <w:r>
        <w:rPr>
          <w:lang w:eastAsia="zh-CN"/>
        </w:rPr>
        <w:t>—</w:t>
      </w:r>
      <w:r>
        <w:rPr>
          <w:lang w:eastAsia="zh-CN"/>
        </w:rPr>
        <w:t>沉浸呈现</w:t>
      </w:r>
      <w:r>
        <w:rPr>
          <w:lang w:eastAsia="zh-CN"/>
        </w:rPr>
        <w:t>”</w:t>
      </w:r>
      <w:r>
        <w:rPr>
          <w:lang w:eastAsia="zh-CN"/>
        </w:rPr>
        <w:t>的闭环叙事，并在工程层面完成与计量口径对齐的数据导入、多视图联动与多模态交互机制说明。下一阶段将以一致性审计、用户实验量化证据、计量附录补强与可复现交付为重点，在严格区分统计关联与政策因果表述的前提下，提升论文可信度、可答辩性与成果转化可读性。</w:t>
      </w:r>
    </w:p>
    <w:sectPr w:rsidR="0099168E" w:rsidSect="00034616">
      <w:pgSz w:w="12240" w:h="15840"/>
      <w:pgMar w:top="1440" w:right="1797" w:bottom="1440" w:left="1797"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E39B011" w14:textId="77777777" w:rsidR="008219EE" w:rsidRDefault="008219EE" w:rsidP="009D1E15">
      <w:pPr>
        <w:spacing w:line="240" w:lineRule="auto"/>
      </w:pPr>
      <w:r>
        <w:separator/>
      </w:r>
    </w:p>
  </w:endnote>
  <w:endnote w:type="continuationSeparator" w:id="0">
    <w:p w14:paraId="7BD95F8D" w14:textId="77777777" w:rsidR="008219EE" w:rsidRDefault="008219EE" w:rsidP="009D1E15">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宋体">
    <w:altName w:val="SimSun"/>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黑体">
    <w:altName w:val="SimHei"/>
    <w:panose1 w:val="02010609060101010101"/>
    <w:charset w:val="86"/>
    <w:family w:val="modern"/>
    <w:pitch w:val="fixed"/>
    <w:sig w:usb0="800002BF" w:usb1="38CF7CFA" w:usb2="00000016" w:usb3="00000000" w:csb0="0004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C700119" w14:textId="77777777" w:rsidR="008219EE" w:rsidRDefault="008219EE" w:rsidP="009D1E15">
      <w:pPr>
        <w:spacing w:line="240" w:lineRule="auto"/>
      </w:pPr>
      <w:r>
        <w:separator/>
      </w:r>
    </w:p>
  </w:footnote>
  <w:footnote w:type="continuationSeparator" w:id="0">
    <w:p w14:paraId="0F4658EE" w14:textId="77777777" w:rsidR="008219EE" w:rsidRDefault="008219EE" w:rsidP="009D1E15">
      <w:pPr>
        <w:spacing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30"/>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20"/>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a"/>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a0"/>
      <w:lvlText w:val=""/>
      <w:lvlJc w:val="left"/>
      <w:pPr>
        <w:tabs>
          <w:tab w:val="num" w:pos="360"/>
        </w:tabs>
        <w:ind w:left="360" w:hanging="360"/>
      </w:pPr>
      <w:rPr>
        <w:rFonts w:ascii="Symbol" w:hAnsi="Symbol" w:hint="default"/>
      </w:rPr>
    </w:lvl>
  </w:abstractNum>
  <w:num w:numId="1" w16cid:durableId="2036734667">
    <w:abstractNumId w:val="8"/>
  </w:num>
  <w:num w:numId="2" w16cid:durableId="482242273">
    <w:abstractNumId w:val="6"/>
  </w:num>
  <w:num w:numId="3" w16cid:durableId="840585957">
    <w:abstractNumId w:val="5"/>
  </w:num>
  <w:num w:numId="4" w16cid:durableId="1493831550">
    <w:abstractNumId w:val="4"/>
  </w:num>
  <w:num w:numId="5" w16cid:durableId="800074805">
    <w:abstractNumId w:val="7"/>
  </w:num>
  <w:num w:numId="6" w16cid:durableId="1125194526">
    <w:abstractNumId w:val="3"/>
  </w:num>
  <w:num w:numId="7" w16cid:durableId="2123527704">
    <w:abstractNumId w:val="2"/>
  </w:num>
  <w:num w:numId="8" w16cid:durableId="1748729545">
    <w:abstractNumId w:val="1"/>
  </w:num>
  <w:num w:numId="9" w16cid:durableId="54114005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8219EE"/>
    <w:rsid w:val="0099168E"/>
    <w:rsid w:val="009D1E15"/>
    <w:rsid w:val="00A25EC9"/>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616AF857"/>
  <w14:defaultImageDpi w14:val="300"/>
  <w15:docId w15:val="{64FB8E9D-342F-4518-B664-ED3C13FC9E1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1">
    <w:name w:val="Normal"/>
    <w:qFormat/>
    <w:rsid w:val="00FC693F"/>
    <w:pPr>
      <w:spacing w:after="0" w:line="360" w:lineRule="auto"/>
      <w:ind w:firstLine="420"/>
    </w:pPr>
    <w:rPr>
      <w:rFonts w:ascii="Times New Roman" w:eastAsia="宋体" w:hAnsi="Times New Roman"/>
      <w:sz w:val="24"/>
    </w:rPr>
  </w:style>
  <w:style w:type="paragraph" w:styleId="1">
    <w:name w:val="heading 1"/>
    <w:basedOn w:val="a1"/>
    <w:next w:val="a1"/>
    <w:link w:val="10"/>
    <w:uiPriority w:val="9"/>
    <w:qFormat/>
    <w:rsid w:val="00FC693F"/>
    <w:pPr>
      <w:keepNext/>
      <w:keepLines/>
      <w:spacing w:before="480" w:after="120"/>
      <w:ind w:firstLine="0"/>
      <w:outlineLvl w:val="0"/>
    </w:pPr>
    <w:rPr>
      <w:rFonts w:asciiTheme="majorHAnsi" w:eastAsiaTheme="majorEastAsia" w:hAnsiTheme="majorHAnsi" w:cstheme="majorBidi"/>
      <w:b/>
      <w:bCs/>
      <w:color w:val="365F91" w:themeColor="accent1" w:themeShade="BF"/>
      <w:sz w:val="30"/>
      <w:szCs w:val="28"/>
    </w:rPr>
  </w:style>
  <w:style w:type="paragraph" w:styleId="21">
    <w:name w:val="heading 2"/>
    <w:basedOn w:val="a1"/>
    <w:next w:val="a1"/>
    <w:link w:val="22"/>
    <w:uiPriority w:val="9"/>
    <w:unhideWhenUsed/>
    <w:qFormat/>
    <w:rsid w:val="00FC693F"/>
    <w:pPr>
      <w:keepNext/>
      <w:keepLines/>
      <w:spacing w:before="200" w:after="120"/>
      <w:ind w:firstLine="0"/>
      <w:outlineLvl w:val="1"/>
    </w:pPr>
    <w:rPr>
      <w:rFonts w:asciiTheme="majorHAnsi" w:eastAsiaTheme="majorEastAsia" w:hAnsiTheme="majorHAnsi" w:cstheme="majorBidi"/>
      <w:b/>
      <w:bCs/>
      <w:color w:val="4F81BD" w:themeColor="accent1"/>
      <w:sz w:val="28"/>
      <w:szCs w:val="26"/>
    </w:rPr>
  </w:style>
  <w:style w:type="paragraph" w:styleId="31">
    <w:name w:val="heading 3"/>
    <w:basedOn w:val="a1"/>
    <w:next w:val="a1"/>
    <w:link w:val="32"/>
    <w:uiPriority w:val="9"/>
    <w:unhideWhenUsed/>
    <w:qFormat/>
    <w:rsid w:val="00FC693F"/>
    <w:pPr>
      <w:keepNext/>
      <w:keepLines/>
      <w:spacing w:before="200"/>
      <w:outlineLvl w:val="2"/>
    </w:pPr>
    <w:rPr>
      <w:rFonts w:asciiTheme="majorHAnsi" w:eastAsiaTheme="majorEastAsia" w:hAnsiTheme="majorHAnsi" w:cstheme="majorBidi"/>
      <w:b/>
      <w:bCs/>
      <w:color w:val="4F81BD" w:themeColor="accent1"/>
    </w:rPr>
  </w:style>
  <w:style w:type="paragraph" w:styleId="4">
    <w:name w:val="heading 4"/>
    <w:basedOn w:val="a1"/>
    <w:next w:val="a1"/>
    <w:link w:val="40"/>
    <w:uiPriority w:val="9"/>
    <w:semiHidden/>
    <w:unhideWhenUsed/>
    <w:qFormat/>
    <w:rsid w:val="00FC693F"/>
    <w:pPr>
      <w:keepNext/>
      <w:keepLines/>
      <w:spacing w:before="200"/>
      <w:outlineLvl w:val="3"/>
    </w:pPr>
    <w:rPr>
      <w:rFonts w:asciiTheme="majorHAnsi" w:eastAsiaTheme="majorEastAsia" w:hAnsiTheme="majorHAnsi" w:cstheme="majorBidi"/>
      <w:b/>
      <w:bCs/>
      <w:i/>
      <w:iCs/>
      <w:color w:val="4F81BD" w:themeColor="accent1"/>
    </w:rPr>
  </w:style>
  <w:style w:type="paragraph" w:styleId="5">
    <w:name w:val="heading 5"/>
    <w:basedOn w:val="a1"/>
    <w:next w:val="a1"/>
    <w:link w:val="50"/>
    <w:uiPriority w:val="9"/>
    <w:semiHidden/>
    <w:unhideWhenUsed/>
    <w:qFormat/>
    <w:rsid w:val="00FC693F"/>
    <w:pPr>
      <w:keepNext/>
      <w:keepLines/>
      <w:spacing w:before="200"/>
      <w:outlineLvl w:val="4"/>
    </w:pPr>
    <w:rPr>
      <w:rFonts w:asciiTheme="majorHAnsi" w:eastAsiaTheme="majorEastAsia" w:hAnsiTheme="majorHAnsi" w:cstheme="majorBidi"/>
      <w:color w:val="243F60" w:themeColor="accent1" w:themeShade="7F"/>
    </w:rPr>
  </w:style>
  <w:style w:type="paragraph" w:styleId="6">
    <w:name w:val="heading 6"/>
    <w:basedOn w:val="a1"/>
    <w:next w:val="a1"/>
    <w:link w:val="60"/>
    <w:uiPriority w:val="9"/>
    <w:semiHidden/>
    <w:unhideWhenUsed/>
    <w:qFormat/>
    <w:rsid w:val="00FC693F"/>
    <w:pPr>
      <w:keepNext/>
      <w:keepLines/>
      <w:spacing w:before="200"/>
      <w:outlineLvl w:val="5"/>
    </w:pPr>
    <w:rPr>
      <w:rFonts w:asciiTheme="majorHAnsi" w:eastAsiaTheme="majorEastAsia" w:hAnsiTheme="majorHAnsi" w:cstheme="majorBidi"/>
      <w:i/>
      <w:iCs/>
      <w:color w:val="243F60" w:themeColor="accent1" w:themeShade="7F"/>
    </w:rPr>
  </w:style>
  <w:style w:type="paragraph" w:styleId="7">
    <w:name w:val="heading 7"/>
    <w:basedOn w:val="a1"/>
    <w:next w:val="a1"/>
    <w:link w:val="70"/>
    <w:uiPriority w:val="9"/>
    <w:semiHidden/>
    <w:unhideWhenUsed/>
    <w:qFormat/>
    <w:rsid w:val="00FC693F"/>
    <w:pPr>
      <w:keepNext/>
      <w:keepLines/>
      <w:spacing w:before="200"/>
      <w:outlineLvl w:val="6"/>
    </w:pPr>
    <w:rPr>
      <w:rFonts w:asciiTheme="majorHAnsi" w:eastAsiaTheme="majorEastAsia" w:hAnsiTheme="majorHAnsi" w:cstheme="majorBidi"/>
      <w:i/>
      <w:iCs/>
      <w:color w:val="404040" w:themeColor="text1" w:themeTint="BF"/>
    </w:rPr>
  </w:style>
  <w:style w:type="paragraph" w:styleId="8">
    <w:name w:val="heading 8"/>
    <w:basedOn w:val="a1"/>
    <w:next w:val="a1"/>
    <w:link w:val="80"/>
    <w:uiPriority w:val="9"/>
    <w:semiHidden/>
    <w:unhideWhenUsed/>
    <w:qFormat/>
    <w:rsid w:val="00FC693F"/>
    <w:pPr>
      <w:keepNext/>
      <w:keepLines/>
      <w:spacing w:before="200"/>
      <w:outlineLvl w:val="7"/>
    </w:pPr>
    <w:rPr>
      <w:rFonts w:asciiTheme="majorHAnsi" w:eastAsiaTheme="majorEastAsia" w:hAnsiTheme="majorHAnsi" w:cstheme="majorBidi"/>
      <w:color w:val="4F81BD" w:themeColor="accent1"/>
      <w:sz w:val="20"/>
      <w:szCs w:val="20"/>
    </w:rPr>
  </w:style>
  <w:style w:type="paragraph" w:styleId="9">
    <w:name w:val="heading 9"/>
    <w:basedOn w:val="a1"/>
    <w:next w:val="a1"/>
    <w:link w:val="90"/>
    <w:uiPriority w:val="9"/>
    <w:semiHidden/>
    <w:unhideWhenUsed/>
    <w:qFormat/>
    <w:rsid w:val="00FC693F"/>
    <w:pPr>
      <w:keepNext/>
      <w:keepLines/>
      <w:spacing w:before="200"/>
      <w:outlineLvl w:val="8"/>
    </w:pPr>
    <w:rPr>
      <w:rFonts w:asciiTheme="majorHAnsi" w:eastAsiaTheme="majorEastAsia" w:hAnsiTheme="majorHAnsi" w:cstheme="majorBidi"/>
      <w:i/>
      <w:iCs/>
      <w:color w:val="404040" w:themeColor="text1" w:themeTint="BF"/>
      <w:sz w:val="20"/>
      <w:szCs w:val="20"/>
    </w:rPr>
  </w:style>
  <w:style w:type="character" w:default="1" w:styleId="a2">
    <w:name w:val="Default Paragraph Font"/>
    <w:uiPriority w:val="1"/>
    <w:semiHidden/>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styleId="a5">
    <w:name w:val="header"/>
    <w:basedOn w:val="a1"/>
    <w:link w:val="a6"/>
    <w:uiPriority w:val="99"/>
    <w:unhideWhenUsed/>
    <w:rsid w:val="00E618BF"/>
    <w:pPr>
      <w:tabs>
        <w:tab w:val="center" w:pos="4680"/>
        <w:tab w:val="right" w:pos="9360"/>
      </w:tabs>
      <w:spacing w:line="240" w:lineRule="auto"/>
    </w:pPr>
  </w:style>
  <w:style w:type="character" w:customStyle="1" w:styleId="a6">
    <w:name w:val="页眉 字符"/>
    <w:basedOn w:val="a2"/>
    <w:link w:val="a5"/>
    <w:uiPriority w:val="99"/>
    <w:rsid w:val="00E618BF"/>
  </w:style>
  <w:style w:type="paragraph" w:styleId="a7">
    <w:name w:val="footer"/>
    <w:basedOn w:val="a1"/>
    <w:link w:val="a8"/>
    <w:uiPriority w:val="99"/>
    <w:unhideWhenUsed/>
    <w:rsid w:val="00E618BF"/>
    <w:pPr>
      <w:tabs>
        <w:tab w:val="center" w:pos="4680"/>
        <w:tab w:val="right" w:pos="9360"/>
      </w:tabs>
      <w:spacing w:line="240" w:lineRule="auto"/>
    </w:pPr>
  </w:style>
  <w:style w:type="character" w:customStyle="1" w:styleId="a8">
    <w:name w:val="页脚 字符"/>
    <w:basedOn w:val="a2"/>
    <w:link w:val="a7"/>
    <w:uiPriority w:val="99"/>
    <w:rsid w:val="00E618BF"/>
  </w:style>
  <w:style w:type="paragraph" w:styleId="a9">
    <w:name w:val="No Spacing"/>
    <w:uiPriority w:val="1"/>
    <w:qFormat/>
    <w:rsid w:val="00FC693F"/>
    <w:pPr>
      <w:spacing w:after="0" w:line="240" w:lineRule="auto"/>
    </w:pPr>
  </w:style>
  <w:style w:type="character" w:customStyle="1" w:styleId="10">
    <w:name w:val="标题 1 字符"/>
    <w:basedOn w:val="a2"/>
    <w:link w:val="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22">
    <w:name w:val="标题 2 字符"/>
    <w:basedOn w:val="a2"/>
    <w:link w:val="21"/>
    <w:uiPriority w:val="9"/>
    <w:rsid w:val="00FC693F"/>
    <w:rPr>
      <w:rFonts w:asciiTheme="majorHAnsi" w:eastAsiaTheme="majorEastAsia" w:hAnsiTheme="majorHAnsi" w:cstheme="majorBidi"/>
      <w:b/>
      <w:bCs/>
      <w:color w:val="4F81BD" w:themeColor="accent1"/>
      <w:sz w:val="26"/>
      <w:szCs w:val="26"/>
    </w:rPr>
  </w:style>
  <w:style w:type="character" w:customStyle="1" w:styleId="32">
    <w:name w:val="标题 3 字符"/>
    <w:basedOn w:val="a2"/>
    <w:link w:val="31"/>
    <w:uiPriority w:val="9"/>
    <w:rsid w:val="00FC693F"/>
    <w:rPr>
      <w:rFonts w:asciiTheme="majorHAnsi" w:eastAsiaTheme="majorEastAsia" w:hAnsiTheme="majorHAnsi" w:cstheme="majorBidi"/>
      <w:b/>
      <w:bCs/>
      <w:color w:val="4F81BD" w:themeColor="accent1"/>
    </w:rPr>
  </w:style>
  <w:style w:type="paragraph" w:styleId="aa">
    <w:name w:val="Title"/>
    <w:basedOn w:val="a1"/>
    <w:next w:val="a1"/>
    <w:link w:val="ab"/>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ab">
    <w:name w:val="标题 字符"/>
    <w:basedOn w:val="a2"/>
    <w:link w:val="aa"/>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ac">
    <w:name w:val="Subtitle"/>
    <w:basedOn w:val="a1"/>
    <w:next w:val="a1"/>
    <w:link w:val="ad"/>
    <w:uiPriority w:val="11"/>
    <w:qFormat/>
    <w:rsid w:val="00FC693F"/>
    <w:pPr>
      <w:numPr>
        <w:ilvl w:val="1"/>
      </w:numPr>
      <w:ind w:firstLine="420"/>
    </w:pPr>
    <w:rPr>
      <w:rFonts w:asciiTheme="majorHAnsi" w:eastAsiaTheme="majorEastAsia" w:hAnsiTheme="majorHAnsi" w:cstheme="majorBidi"/>
      <w:i/>
      <w:iCs/>
      <w:color w:val="4F81BD" w:themeColor="accent1"/>
      <w:spacing w:val="15"/>
      <w:szCs w:val="24"/>
    </w:rPr>
  </w:style>
  <w:style w:type="character" w:customStyle="1" w:styleId="ad">
    <w:name w:val="副标题 字符"/>
    <w:basedOn w:val="a2"/>
    <w:link w:val="ac"/>
    <w:uiPriority w:val="11"/>
    <w:rsid w:val="00FC693F"/>
    <w:rPr>
      <w:rFonts w:asciiTheme="majorHAnsi" w:eastAsiaTheme="majorEastAsia" w:hAnsiTheme="majorHAnsi" w:cstheme="majorBidi"/>
      <w:i/>
      <w:iCs/>
      <w:color w:val="4F81BD" w:themeColor="accent1"/>
      <w:spacing w:val="15"/>
      <w:sz w:val="24"/>
      <w:szCs w:val="24"/>
    </w:rPr>
  </w:style>
  <w:style w:type="paragraph" w:styleId="ae">
    <w:name w:val="List Paragraph"/>
    <w:basedOn w:val="a1"/>
    <w:uiPriority w:val="34"/>
    <w:qFormat/>
    <w:rsid w:val="00FC693F"/>
    <w:pPr>
      <w:ind w:left="720"/>
      <w:contextualSpacing/>
    </w:pPr>
  </w:style>
  <w:style w:type="paragraph" w:styleId="af">
    <w:name w:val="Body Text"/>
    <w:basedOn w:val="a1"/>
    <w:link w:val="af0"/>
    <w:uiPriority w:val="99"/>
    <w:unhideWhenUsed/>
    <w:rsid w:val="00AA1D8D"/>
    <w:pPr>
      <w:spacing w:after="120"/>
    </w:pPr>
  </w:style>
  <w:style w:type="character" w:customStyle="1" w:styleId="af0">
    <w:name w:val="正文文本 字符"/>
    <w:basedOn w:val="a2"/>
    <w:link w:val="af"/>
    <w:uiPriority w:val="99"/>
    <w:rsid w:val="00AA1D8D"/>
  </w:style>
  <w:style w:type="paragraph" w:styleId="23">
    <w:name w:val="Body Text 2"/>
    <w:basedOn w:val="a1"/>
    <w:link w:val="24"/>
    <w:uiPriority w:val="99"/>
    <w:unhideWhenUsed/>
    <w:rsid w:val="00AA1D8D"/>
    <w:pPr>
      <w:spacing w:after="120" w:line="480" w:lineRule="auto"/>
    </w:pPr>
  </w:style>
  <w:style w:type="character" w:customStyle="1" w:styleId="24">
    <w:name w:val="正文文本 2 字符"/>
    <w:basedOn w:val="a2"/>
    <w:link w:val="23"/>
    <w:uiPriority w:val="99"/>
    <w:rsid w:val="00AA1D8D"/>
  </w:style>
  <w:style w:type="paragraph" w:styleId="33">
    <w:name w:val="Body Text 3"/>
    <w:basedOn w:val="a1"/>
    <w:link w:val="34"/>
    <w:uiPriority w:val="99"/>
    <w:unhideWhenUsed/>
    <w:rsid w:val="00AA1D8D"/>
    <w:pPr>
      <w:spacing w:after="120"/>
    </w:pPr>
    <w:rPr>
      <w:sz w:val="16"/>
      <w:szCs w:val="16"/>
    </w:rPr>
  </w:style>
  <w:style w:type="character" w:customStyle="1" w:styleId="34">
    <w:name w:val="正文文本 3 字符"/>
    <w:basedOn w:val="a2"/>
    <w:link w:val="33"/>
    <w:uiPriority w:val="99"/>
    <w:rsid w:val="00AA1D8D"/>
    <w:rPr>
      <w:sz w:val="16"/>
      <w:szCs w:val="16"/>
    </w:rPr>
  </w:style>
  <w:style w:type="paragraph" w:styleId="af1">
    <w:name w:val="List"/>
    <w:basedOn w:val="a1"/>
    <w:uiPriority w:val="99"/>
    <w:unhideWhenUsed/>
    <w:rsid w:val="00AA1D8D"/>
    <w:pPr>
      <w:ind w:left="360" w:hanging="360"/>
      <w:contextualSpacing/>
    </w:pPr>
  </w:style>
  <w:style w:type="paragraph" w:styleId="25">
    <w:name w:val="List 2"/>
    <w:basedOn w:val="a1"/>
    <w:uiPriority w:val="99"/>
    <w:unhideWhenUsed/>
    <w:rsid w:val="00326F90"/>
    <w:pPr>
      <w:ind w:left="720" w:hanging="360"/>
      <w:contextualSpacing/>
    </w:pPr>
  </w:style>
  <w:style w:type="paragraph" w:styleId="35">
    <w:name w:val="List 3"/>
    <w:basedOn w:val="a1"/>
    <w:uiPriority w:val="99"/>
    <w:unhideWhenUsed/>
    <w:rsid w:val="00326F90"/>
    <w:pPr>
      <w:ind w:left="1080" w:hanging="360"/>
      <w:contextualSpacing/>
    </w:pPr>
  </w:style>
  <w:style w:type="paragraph" w:styleId="a0">
    <w:name w:val="List Bullet"/>
    <w:basedOn w:val="a1"/>
    <w:uiPriority w:val="99"/>
    <w:unhideWhenUsed/>
    <w:rsid w:val="00326F90"/>
    <w:pPr>
      <w:numPr>
        <w:numId w:val="1"/>
      </w:numPr>
      <w:contextualSpacing/>
    </w:pPr>
  </w:style>
  <w:style w:type="paragraph" w:styleId="20">
    <w:name w:val="List Bullet 2"/>
    <w:basedOn w:val="a1"/>
    <w:uiPriority w:val="99"/>
    <w:unhideWhenUsed/>
    <w:rsid w:val="00326F90"/>
    <w:pPr>
      <w:numPr>
        <w:numId w:val="2"/>
      </w:numPr>
      <w:contextualSpacing/>
    </w:pPr>
  </w:style>
  <w:style w:type="paragraph" w:styleId="30">
    <w:name w:val="List Bullet 3"/>
    <w:basedOn w:val="a1"/>
    <w:uiPriority w:val="99"/>
    <w:unhideWhenUsed/>
    <w:rsid w:val="00326F90"/>
    <w:pPr>
      <w:numPr>
        <w:numId w:val="3"/>
      </w:numPr>
      <w:contextualSpacing/>
    </w:pPr>
  </w:style>
  <w:style w:type="paragraph" w:styleId="a">
    <w:name w:val="List Number"/>
    <w:basedOn w:val="a1"/>
    <w:uiPriority w:val="99"/>
    <w:unhideWhenUsed/>
    <w:rsid w:val="00326F90"/>
    <w:pPr>
      <w:numPr>
        <w:numId w:val="5"/>
      </w:numPr>
      <w:contextualSpacing/>
    </w:pPr>
  </w:style>
  <w:style w:type="paragraph" w:styleId="2">
    <w:name w:val="List Number 2"/>
    <w:basedOn w:val="a1"/>
    <w:uiPriority w:val="99"/>
    <w:unhideWhenUsed/>
    <w:rsid w:val="0029639D"/>
    <w:pPr>
      <w:numPr>
        <w:numId w:val="6"/>
      </w:numPr>
      <w:contextualSpacing/>
    </w:pPr>
  </w:style>
  <w:style w:type="paragraph" w:styleId="3">
    <w:name w:val="List Number 3"/>
    <w:basedOn w:val="a1"/>
    <w:uiPriority w:val="99"/>
    <w:unhideWhenUsed/>
    <w:rsid w:val="0029639D"/>
    <w:pPr>
      <w:numPr>
        <w:numId w:val="7"/>
      </w:numPr>
      <w:contextualSpacing/>
    </w:pPr>
  </w:style>
  <w:style w:type="paragraph" w:styleId="af2">
    <w:name w:val="List Continue"/>
    <w:basedOn w:val="a1"/>
    <w:uiPriority w:val="99"/>
    <w:unhideWhenUsed/>
    <w:rsid w:val="0029639D"/>
    <w:pPr>
      <w:spacing w:after="120"/>
      <w:ind w:left="360"/>
      <w:contextualSpacing/>
    </w:pPr>
  </w:style>
  <w:style w:type="paragraph" w:styleId="26">
    <w:name w:val="List Continue 2"/>
    <w:basedOn w:val="a1"/>
    <w:uiPriority w:val="99"/>
    <w:unhideWhenUsed/>
    <w:rsid w:val="0029639D"/>
    <w:pPr>
      <w:spacing w:after="120"/>
      <w:ind w:left="720"/>
      <w:contextualSpacing/>
    </w:pPr>
  </w:style>
  <w:style w:type="paragraph" w:styleId="36">
    <w:name w:val="List Continue 3"/>
    <w:basedOn w:val="a1"/>
    <w:uiPriority w:val="99"/>
    <w:unhideWhenUsed/>
    <w:rsid w:val="0029639D"/>
    <w:pPr>
      <w:spacing w:after="120"/>
      <w:ind w:left="1080"/>
      <w:contextualSpacing/>
    </w:pPr>
  </w:style>
  <w:style w:type="paragraph" w:styleId="af3">
    <w:name w:val="macro"/>
    <w:link w:val="af4"/>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af4">
    <w:name w:val="宏文本 字符"/>
    <w:basedOn w:val="a2"/>
    <w:link w:val="af3"/>
    <w:uiPriority w:val="99"/>
    <w:rsid w:val="0029639D"/>
    <w:rPr>
      <w:rFonts w:ascii="Courier" w:hAnsi="Courier"/>
      <w:sz w:val="20"/>
      <w:szCs w:val="20"/>
    </w:rPr>
  </w:style>
  <w:style w:type="paragraph" w:styleId="af5">
    <w:name w:val="Quote"/>
    <w:basedOn w:val="a1"/>
    <w:next w:val="a1"/>
    <w:link w:val="af6"/>
    <w:uiPriority w:val="29"/>
    <w:qFormat/>
    <w:rsid w:val="00FC693F"/>
    <w:rPr>
      <w:i/>
      <w:iCs/>
      <w:color w:val="000000" w:themeColor="text1"/>
    </w:rPr>
  </w:style>
  <w:style w:type="character" w:customStyle="1" w:styleId="af6">
    <w:name w:val="引用 字符"/>
    <w:basedOn w:val="a2"/>
    <w:link w:val="af5"/>
    <w:uiPriority w:val="29"/>
    <w:rsid w:val="00FC693F"/>
    <w:rPr>
      <w:i/>
      <w:iCs/>
      <w:color w:val="000000" w:themeColor="text1"/>
    </w:rPr>
  </w:style>
  <w:style w:type="character" w:customStyle="1" w:styleId="40">
    <w:name w:val="标题 4 字符"/>
    <w:basedOn w:val="a2"/>
    <w:link w:val="4"/>
    <w:uiPriority w:val="9"/>
    <w:semiHidden/>
    <w:rsid w:val="00FC693F"/>
    <w:rPr>
      <w:rFonts w:asciiTheme="majorHAnsi" w:eastAsiaTheme="majorEastAsia" w:hAnsiTheme="majorHAnsi" w:cstheme="majorBidi"/>
      <w:b/>
      <w:bCs/>
      <w:i/>
      <w:iCs/>
      <w:color w:val="4F81BD" w:themeColor="accent1"/>
    </w:rPr>
  </w:style>
  <w:style w:type="character" w:customStyle="1" w:styleId="50">
    <w:name w:val="标题 5 字符"/>
    <w:basedOn w:val="a2"/>
    <w:link w:val="5"/>
    <w:uiPriority w:val="9"/>
    <w:semiHidden/>
    <w:rsid w:val="00FC693F"/>
    <w:rPr>
      <w:rFonts w:asciiTheme="majorHAnsi" w:eastAsiaTheme="majorEastAsia" w:hAnsiTheme="majorHAnsi" w:cstheme="majorBidi"/>
      <w:color w:val="243F60" w:themeColor="accent1" w:themeShade="7F"/>
    </w:rPr>
  </w:style>
  <w:style w:type="character" w:customStyle="1" w:styleId="60">
    <w:name w:val="标题 6 字符"/>
    <w:basedOn w:val="a2"/>
    <w:link w:val="6"/>
    <w:uiPriority w:val="9"/>
    <w:semiHidden/>
    <w:rsid w:val="00FC693F"/>
    <w:rPr>
      <w:rFonts w:asciiTheme="majorHAnsi" w:eastAsiaTheme="majorEastAsia" w:hAnsiTheme="majorHAnsi" w:cstheme="majorBidi"/>
      <w:i/>
      <w:iCs/>
      <w:color w:val="243F60" w:themeColor="accent1" w:themeShade="7F"/>
    </w:rPr>
  </w:style>
  <w:style w:type="character" w:customStyle="1" w:styleId="70">
    <w:name w:val="标题 7 字符"/>
    <w:basedOn w:val="a2"/>
    <w:link w:val="7"/>
    <w:uiPriority w:val="9"/>
    <w:semiHidden/>
    <w:rsid w:val="00FC693F"/>
    <w:rPr>
      <w:rFonts w:asciiTheme="majorHAnsi" w:eastAsiaTheme="majorEastAsia" w:hAnsiTheme="majorHAnsi" w:cstheme="majorBidi"/>
      <w:i/>
      <w:iCs/>
      <w:color w:val="404040" w:themeColor="text1" w:themeTint="BF"/>
    </w:rPr>
  </w:style>
  <w:style w:type="character" w:customStyle="1" w:styleId="80">
    <w:name w:val="标题 8 字符"/>
    <w:basedOn w:val="a2"/>
    <w:link w:val="8"/>
    <w:uiPriority w:val="9"/>
    <w:semiHidden/>
    <w:rsid w:val="00FC693F"/>
    <w:rPr>
      <w:rFonts w:asciiTheme="majorHAnsi" w:eastAsiaTheme="majorEastAsia" w:hAnsiTheme="majorHAnsi" w:cstheme="majorBidi"/>
      <w:color w:val="4F81BD" w:themeColor="accent1"/>
      <w:sz w:val="20"/>
      <w:szCs w:val="20"/>
    </w:rPr>
  </w:style>
  <w:style w:type="character" w:customStyle="1" w:styleId="90">
    <w:name w:val="标题 9 字符"/>
    <w:basedOn w:val="a2"/>
    <w:link w:val="9"/>
    <w:uiPriority w:val="9"/>
    <w:semiHidden/>
    <w:rsid w:val="00FC693F"/>
    <w:rPr>
      <w:rFonts w:asciiTheme="majorHAnsi" w:eastAsiaTheme="majorEastAsia" w:hAnsiTheme="majorHAnsi" w:cstheme="majorBidi"/>
      <w:i/>
      <w:iCs/>
      <w:color w:val="404040" w:themeColor="text1" w:themeTint="BF"/>
      <w:sz w:val="20"/>
      <w:szCs w:val="20"/>
    </w:rPr>
  </w:style>
  <w:style w:type="paragraph" w:styleId="af7">
    <w:name w:val="caption"/>
    <w:basedOn w:val="a1"/>
    <w:next w:val="a1"/>
    <w:uiPriority w:val="35"/>
    <w:semiHidden/>
    <w:unhideWhenUsed/>
    <w:qFormat/>
    <w:rsid w:val="00FC693F"/>
    <w:pPr>
      <w:spacing w:line="240" w:lineRule="auto"/>
    </w:pPr>
    <w:rPr>
      <w:b/>
      <w:bCs/>
      <w:color w:val="4F81BD" w:themeColor="accent1"/>
      <w:sz w:val="18"/>
      <w:szCs w:val="18"/>
    </w:rPr>
  </w:style>
  <w:style w:type="character" w:styleId="af8">
    <w:name w:val="Strong"/>
    <w:basedOn w:val="a2"/>
    <w:uiPriority w:val="22"/>
    <w:qFormat/>
    <w:rsid w:val="00FC693F"/>
    <w:rPr>
      <w:b/>
      <w:bCs/>
    </w:rPr>
  </w:style>
  <w:style w:type="character" w:styleId="af9">
    <w:name w:val="Emphasis"/>
    <w:basedOn w:val="a2"/>
    <w:uiPriority w:val="20"/>
    <w:qFormat/>
    <w:rsid w:val="00FC693F"/>
    <w:rPr>
      <w:i/>
      <w:iCs/>
    </w:rPr>
  </w:style>
  <w:style w:type="paragraph" w:styleId="afa">
    <w:name w:val="Intense Quote"/>
    <w:basedOn w:val="a1"/>
    <w:next w:val="a1"/>
    <w:link w:val="afb"/>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afb">
    <w:name w:val="明显引用 字符"/>
    <w:basedOn w:val="a2"/>
    <w:link w:val="afa"/>
    <w:uiPriority w:val="30"/>
    <w:rsid w:val="00FC693F"/>
    <w:rPr>
      <w:b/>
      <w:bCs/>
      <w:i/>
      <w:iCs/>
      <w:color w:val="4F81BD" w:themeColor="accent1"/>
    </w:rPr>
  </w:style>
  <w:style w:type="character" w:styleId="afc">
    <w:name w:val="Subtle Emphasis"/>
    <w:basedOn w:val="a2"/>
    <w:uiPriority w:val="19"/>
    <w:qFormat/>
    <w:rsid w:val="00FC693F"/>
    <w:rPr>
      <w:i/>
      <w:iCs/>
      <w:color w:val="808080" w:themeColor="text1" w:themeTint="7F"/>
    </w:rPr>
  </w:style>
  <w:style w:type="character" w:styleId="afd">
    <w:name w:val="Intense Emphasis"/>
    <w:basedOn w:val="a2"/>
    <w:uiPriority w:val="21"/>
    <w:qFormat/>
    <w:rsid w:val="00FC693F"/>
    <w:rPr>
      <w:b/>
      <w:bCs/>
      <w:i/>
      <w:iCs/>
      <w:color w:val="4F81BD" w:themeColor="accent1"/>
    </w:rPr>
  </w:style>
  <w:style w:type="character" w:styleId="afe">
    <w:name w:val="Subtle Reference"/>
    <w:basedOn w:val="a2"/>
    <w:uiPriority w:val="31"/>
    <w:qFormat/>
    <w:rsid w:val="00FC693F"/>
    <w:rPr>
      <w:smallCaps/>
      <w:color w:val="C0504D" w:themeColor="accent2"/>
      <w:u w:val="single"/>
    </w:rPr>
  </w:style>
  <w:style w:type="character" w:styleId="aff">
    <w:name w:val="Intense Reference"/>
    <w:basedOn w:val="a2"/>
    <w:uiPriority w:val="32"/>
    <w:qFormat/>
    <w:rsid w:val="00FC693F"/>
    <w:rPr>
      <w:b/>
      <w:bCs/>
      <w:smallCaps/>
      <w:color w:val="C0504D" w:themeColor="accent2"/>
      <w:spacing w:val="5"/>
      <w:u w:val="single"/>
    </w:rPr>
  </w:style>
  <w:style w:type="character" w:styleId="aff0">
    <w:name w:val="Book Title"/>
    <w:basedOn w:val="a2"/>
    <w:uiPriority w:val="33"/>
    <w:qFormat/>
    <w:rsid w:val="00FC693F"/>
    <w:rPr>
      <w:b/>
      <w:bCs/>
      <w:smallCaps/>
      <w:spacing w:val="5"/>
    </w:rPr>
  </w:style>
  <w:style w:type="paragraph" w:styleId="TOC">
    <w:name w:val="TOC Heading"/>
    <w:basedOn w:val="1"/>
    <w:next w:val="a1"/>
    <w:uiPriority w:val="39"/>
    <w:semiHidden/>
    <w:unhideWhenUsed/>
    <w:qFormat/>
    <w:rsid w:val="00FC693F"/>
    <w:pPr>
      <w:outlineLvl w:val="9"/>
    </w:pPr>
  </w:style>
  <w:style w:type="table" w:styleId="aff1">
    <w:name w:val="Table Grid"/>
    <w:basedOn w:val="a3"/>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ff2">
    <w:name w:val="Light Shading"/>
    <w:basedOn w:val="a3"/>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1">
    <w:name w:val="Light Shading Accent 1"/>
    <w:basedOn w:val="a3"/>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2">
    <w:name w:val="Light Shading Accent 2"/>
    <w:basedOn w:val="a3"/>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3">
    <w:name w:val="Light Shading Accent 3"/>
    <w:basedOn w:val="a3"/>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
    <w:name w:val="Light Shading Accent 4"/>
    <w:basedOn w:val="a3"/>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5">
    <w:name w:val="Light Shading Accent 5"/>
    <w:basedOn w:val="a3"/>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6">
    <w:name w:val="Light Shading Accent 6"/>
    <w:basedOn w:val="a3"/>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aff3">
    <w:name w:val="Light List"/>
    <w:basedOn w:val="a3"/>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10">
    <w:name w:val="Light List Accent 1"/>
    <w:basedOn w:val="a3"/>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20">
    <w:name w:val="Light List Accent 2"/>
    <w:basedOn w:val="a3"/>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30">
    <w:name w:val="Light List Accent 3"/>
    <w:basedOn w:val="a3"/>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40">
    <w:name w:val="Light List Accent 4"/>
    <w:basedOn w:val="a3"/>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50">
    <w:name w:val="Light List Accent 5"/>
    <w:basedOn w:val="a3"/>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60">
    <w:name w:val="Light List Accent 6"/>
    <w:basedOn w:val="a3"/>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aff4">
    <w:name w:val="Light Grid"/>
    <w:basedOn w:val="a3"/>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11">
    <w:name w:val="Light Grid Accent 1"/>
    <w:basedOn w:val="a3"/>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21">
    <w:name w:val="Light Grid Accent 2"/>
    <w:basedOn w:val="a3"/>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31">
    <w:name w:val="Light Grid Accent 3"/>
    <w:basedOn w:val="a3"/>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41">
    <w:name w:val="Light Grid Accent 4"/>
    <w:basedOn w:val="a3"/>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51">
    <w:name w:val="Light Grid Accent 5"/>
    <w:basedOn w:val="a3"/>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61">
    <w:name w:val="Light Grid Accent 6"/>
    <w:basedOn w:val="a3"/>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11">
    <w:name w:val="Medium Shading 1"/>
    <w:basedOn w:val="a3"/>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1-1">
    <w:name w:val="Medium Shading 1 Accent 1"/>
    <w:basedOn w:val="a3"/>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1-2">
    <w:name w:val="Medium Shading 1 Accent 2"/>
    <w:basedOn w:val="a3"/>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1-3">
    <w:name w:val="Medium Shading 1 Accent 3"/>
    <w:basedOn w:val="a3"/>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1-4">
    <w:name w:val="Medium Shading 1 Accent 4"/>
    <w:basedOn w:val="a3"/>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1-5">
    <w:name w:val="Medium Shading 1 Accent 5"/>
    <w:basedOn w:val="a3"/>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1-6">
    <w:name w:val="Medium Shading 1 Accent 6"/>
    <w:basedOn w:val="a3"/>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27">
    <w:name w:val="Medium Shading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1">
    <w:name w:val="Medium Shading 2 Accent 1"/>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2">
    <w:name w:val="Medium Shading 2 Accent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3">
    <w:name w:val="Medium Shading 2 Accent 3"/>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4">
    <w:name w:val="Medium Shading 2 Accent 4"/>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5">
    <w:name w:val="Medium Shading 2 Accent 5"/>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6">
    <w:name w:val="Medium Shading 2 Accent 6"/>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12">
    <w:name w:val="Medium List 1"/>
    <w:basedOn w:val="a3"/>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1-10">
    <w:name w:val="Medium List 1 Accent 1"/>
    <w:basedOn w:val="a3"/>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1-20">
    <w:name w:val="Medium List 1 Accent 2"/>
    <w:basedOn w:val="a3"/>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1-30">
    <w:name w:val="Medium List 1 Accent 3"/>
    <w:basedOn w:val="a3"/>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1-40">
    <w:name w:val="Medium List 1 Accent 4"/>
    <w:basedOn w:val="a3"/>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1-50">
    <w:name w:val="Medium List 1 Accent 5"/>
    <w:basedOn w:val="a3"/>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1-60">
    <w:name w:val="Medium List 1 Accent 6"/>
    <w:basedOn w:val="a3"/>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28">
    <w:name w:val="Medium Lis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2-10">
    <w:name w:val="Medium List 2 Accent 1"/>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2-20">
    <w:name w:val="Medium List 2 Accen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2-30">
    <w:name w:val="Medium List 2 Accent 3"/>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2-40">
    <w:name w:val="Medium List 2 Accent 4"/>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2-50">
    <w:name w:val="Medium List 2 Accent 5"/>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2-60">
    <w:name w:val="Medium List 2 Accent 6"/>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13">
    <w:name w:val="Medium Grid 1"/>
    <w:basedOn w:val="a3"/>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11">
    <w:name w:val="Medium Grid 1 Accent 1"/>
    <w:basedOn w:val="a3"/>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21">
    <w:name w:val="Medium Grid 1 Accent 2"/>
    <w:basedOn w:val="a3"/>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Medium Grid 1 Accent 3"/>
    <w:basedOn w:val="a3"/>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1">
    <w:name w:val="Medium Grid 1 Accent 4"/>
    <w:basedOn w:val="a3"/>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51">
    <w:name w:val="Medium Grid 1 Accent 5"/>
    <w:basedOn w:val="a3"/>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61">
    <w:name w:val="Medium Grid 1 Accent 6"/>
    <w:basedOn w:val="a3"/>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29">
    <w:name w:val="Medium Grid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2-11">
    <w:name w:val="Medium Grid 2 Accent 1"/>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2-21">
    <w:name w:val="Medium Grid 2 Accent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2-31">
    <w:name w:val="Medium Grid 2 Accent 3"/>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2-41">
    <w:name w:val="Medium Grid 2 Accent 4"/>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2-51">
    <w:name w:val="Medium Grid 2 Accent 5"/>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2-61">
    <w:name w:val="Medium Grid 2 Accent 6"/>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37">
    <w:name w:val="Medium Grid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3-1">
    <w:name w:val="Medium Grid 3 Accent 1"/>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3-2">
    <w:name w:val="Medium Grid 3 Accent 2"/>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3-3">
    <w:name w:val="Medium Grid 3 Accent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3-4">
    <w:name w:val="Medium Grid 3 Accent 4"/>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3-5">
    <w:name w:val="Medium Grid 3 Accent 5"/>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3-6">
    <w:name w:val="Medium Grid 3 Accent 6"/>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aff5">
    <w:name w:val="Dark List"/>
    <w:basedOn w:val="a3"/>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2">
    <w:name w:val="Dark List Accent 1"/>
    <w:basedOn w:val="a3"/>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22">
    <w:name w:val="Dark List Accent 2"/>
    <w:basedOn w:val="a3"/>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32">
    <w:name w:val="Dark List Accent 3"/>
    <w:basedOn w:val="a3"/>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42">
    <w:name w:val="Dark List Accent 4"/>
    <w:basedOn w:val="a3"/>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52">
    <w:name w:val="Dark List Accent 5"/>
    <w:basedOn w:val="a3"/>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62">
    <w:name w:val="Dark List Accent 6"/>
    <w:basedOn w:val="a3"/>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aff6">
    <w:name w:val="Colorful Shading"/>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13">
    <w:name w:val="Colorful Shading Accent 1"/>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23">
    <w:name w:val="Colorful Shading Accent 2"/>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33">
    <w:name w:val="Colorful Shading Accent 3"/>
    <w:basedOn w:val="a3"/>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43">
    <w:name w:val="Colorful Shading Accent 4"/>
    <w:basedOn w:val="a3"/>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53">
    <w:name w:val="Colorful Shading Accent 5"/>
    <w:basedOn w:val="a3"/>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63">
    <w:name w:val="Colorful Shading Accent 6"/>
    <w:basedOn w:val="a3"/>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aff7">
    <w:name w:val="Colorful List"/>
    <w:basedOn w:val="a3"/>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14">
    <w:name w:val="Colorful List Accent 1"/>
    <w:basedOn w:val="a3"/>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24">
    <w:name w:val="Colorful List Accent 2"/>
    <w:basedOn w:val="a3"/>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34">
    <w:name w:val="Colorful List Accent 3"/>
    <w:basedOn w:val="a3"/>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44">
    <w:name w:val="Colorful List Accent 4"/>
    <w:basedOn w:val="a3"/>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54">
    <w:name w:val="Colorful List Accent 5"/>
    <w:basedOn w:val="a3"/>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64">
    <w:name w:val="Colorful List Accent 6"/>
    <w:basedOn w:val="a3"/>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aff8">
    <w:name w:val="Colorful Grid"/>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5">
    <w:name w:val="Colorful Grid Accent 1"/>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25">
    <w:name w:val="Colorful Grid Accent 2"/>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35">
    <w:name w:val="Colorful Grid Accent 3"/>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45">
    <w:name w:val="Colorful Grid Accent 4"/>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55">
    <w:name w:val="Colorful Grid Accent 5"/>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65">
    <w:name w:val="Colorful Grid Accent 6"/>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6</Pages>
  <Words>699</Words>
  <Characters>3986</Characters>
  <Application>Microsoft Office Word</Application>
  <DocSecurity>0</DocSecurity>
  <Lines>33</Lines>
  <Paragraphs>9</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4676</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敏德 柳</cp:lastModifiedBy>
  <cp:revision>2</cp:revision>
  <dcterms:created xsi:type="dcterms:W3CDTF">2013-12-23T23:15:00Z</dcterms:created>
  <dcterms:modified xsi:type="dcterms:W3CDTF">2026-04-15T05:57:00Z</dcterms:modified>
  <cp:category/>
</cp:coreProperties>
</file>