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RevisionGrade Volumes I–V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Definitions and Content Registry View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Quick-Reference Index of Canon Content by Volume (v2.1 — March 2026)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Volume I — WAVE Revision Guide Canon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Defines the 62-wave revision methodology and its execution rules.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5 Tsunamis (structural integrity, character/dialogue, thematic/world-building, pacing/momentum, literary authority)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62 individual Wave definitions (Waves 1–62)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Breath &amp; Sound Optimization Canon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Velocity Bundle (compressed late-stage execution)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WAVE Evaluator Governance Layer (W-G1 through W-G5)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Execution rules and sequencing constraints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18 registered canon units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II (criteria alignment), Vol IV (governance), Vol V (pipeline sequencing)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Volume II — 13 Story Evaluation Criteria Canon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Defines the 13 evaluation criteria, scoring methodology, and diagnostic framework.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13 Core Story Evaluation Criteria (Concept through Professional Readiness)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Scoring Methodology (weighted composite model, tier weighting)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WAVE-Criteria Alignment Mapping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Diagnostic Patterns &amp; Failure Modes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Revision Prioritization Logic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Evidence Capture &amp; Audit Trail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Composite Concepts and Cross-Mapping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Differentiated Authority Model (DAM) — Addendum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Michael Witness POV Constraints — Addendum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Breath &amp; Sound Addendum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First-50-Pages Authority Lock Plan — Addendum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Dependency Calibration Scale (DCS) — Narrative Attachment Model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17 registered canon units (13 criteria + composites + DCS + addendum entries)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I (WAVE alignment), Vol IV (governance), Vol V (tier weighting)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Volume II-A — Operational Schema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Machine-operational specification for evaluation, routing, scoring, and audit artifacts.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Data structures and execution logic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Scoring computation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Scene-level and chapter-level scoring methods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Routing and artifact generation specs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1 registered canon unit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II (scoring), Vol III (pipeline), Vol V (execution flow)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Canon III — Lessons of the Living System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Governing laws derived from system failure, ambiguity, and observed narrative truth.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8 Lessons (I:1 through I:8)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Each with Observation, Revelation, Law, and Implication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Laws: Blur Not Multiplicity, Authority Must Ascend, Events Must Propagate, Control Is Conditional, Resistance Reveals Structure, Interpretation Without Consequence Is Drift, Pressure Must Move, The System Resists in Three Forms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1 registered canon unit (collection)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V Section VII (enforcement rules derived from these lessons)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Volume III — Platform Governance Canon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Defines non-negotiable operational rules, system constants, enforcement architecture, and implementation specifications.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Part A: Governance Foundations (Purpose, Authority, Doctrines — Sections 1–3)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Part B: Enforcement Architecture (Editorial Intelligence — Section 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Part C: Operational Specification (Constants, Routing, Artifacts, Flow Control, Consequences, Engineering, Hooks, Data Handling — Sections 5–12)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Part D: Implementation Artifacts (Schemas, Prompt Registry, Implementation Specs — Sections 13–15)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Part E: Governance Authority (Completion Status, Authority — Sections 16–17)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5 Core Doctrines (Platform Integrity, User Trust, Separation of Concerns, Eligibility Gate, Artifact Persistence)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System Constants and Thresholds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Canon Gate specification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Implementation Priority Order (Phases 1–5)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Appendix with Quick Reference Tables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See RCAM for detailed routing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I (WAVE tools), Vol II (criteria), Vol IV (governance authority), Vol V (execution)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Volume IV — AI Governance Canon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Defines what AI is allowed to do, how it is governed, and how canon is protected.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G1: AI Role Definition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G2: Governance Architecture (three authority layers)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G3: Canon Protection Systems (formatting locks, authority bands, POV containment, personification budget, forward-hook protection, late-stage compression, breath timing)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G4: Risk &amp; Failure Controls (hallucination guardrails, multi-AI consensus, human oversight protocol)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G5: Canon Stability (human authority supremacy, canon evolution protocol)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G6: Governance State &amp; Violation Model (states, severity classes, enforcement mechanism)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G6.3: Runtime Enforcement Reference → Volume V Section VII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G7: Cross-Volume Governance Anchors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See RCAM for detailed routing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I (WAVE governance), Vol III (enforcement), Vol V (runtime enforcement)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Volume V — Execution Architecture &amp; Industry Interface Canon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Defines runtime execution, pipeline architecture, and external-facing artifact system.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V.1: Agent &amp; Publisher Interface Canon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V.2: Conceptual Pipeline Architecture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V.3: AEP One-Shot Execution Flow (Steps 0–5)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V.4: Trifecta Model (Three-Pass Evaluation)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V.5: Chunking &amp; Manuscript Assembly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V.6: Multi-AI Orchestration Framework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V.7: Provider Abstraction in Runtime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V.8: Execution Modes (Trusted Path vs Studio)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V.9: UI &amp; Human Review Contracts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V.10: Artifact Generation &amp; Certification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V.11: Reliability, Retry, and Incident Model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V.12: Build / Rollout Sequence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Section VII: Canon Enforcement System (Phase 0 integration)</w:t>
      </w:r>
    </w:p>
    <w:p>
      <w:pPr>
        <w:spacing w:after="30"/>
        <w:ind w:left="1080" w:hanging="360"/>
      </w:pPr>
      <w:r>
        <w:rPr>
          <w:rFonts w:ascii="Calibri" w:cs="Calibri" w:eastAsia="Calibri" w:hAnsi="Calibri"/>
          <w:sz w:val="21"/>
          <w:szCs w:val="21"/>
        </w:rPr>
        <w:t xml:space="preserve">– VII.1: Canon Registry Binding</w:t>
      </w:r>
    </w:p>
    <w:p>
      <w:pPr>
        <w:spacing w:after="30"/>
        <w:ind w:left="1080" w:hanging="360"/>
      </w:pPr>
      <w:r>
        <w:rPr>
          <w:rFonts w:ascii="Calibri" w:cs="Calibri" w:eastAsia="Calibri" w:hAnsi="Calibri"/>
          <w:sz w:val="21"/>
          <w:szCs w:val="21"/>
        </w:rPr>
        <w:t xml:space="preserve">– VII.2: Lessons Learned Rule Engine</w:t>
      </w:r>
    </w:p>
    <w:p>
      <w:pPr>
        <w:spacing w:after="30"/>
        <w:ind w:left="1080" w:hanging="360"/>
      </w:pPr>
      <w:r>
        <w:rPr>
          <w:rFonts w:ascii="Calibri" w:cs="Calibri" w:eastAsia="Calibri" w:hAnsi="Calibri"/>
          <w:sz w:val="21"/>
          <w:szCs w:val="21"/>
        </w:rPr>
        <w:t xml:space="preserve">– VII.3: Governance Injection Map</w:t>
      </w:r>
    </w:p>
    <w:p>
      <w:pPr>
        <w:spacing w:after="30"/>
        <w:ind w:left="1080" w:hanging="360"/>
      </w:pPr>
      <w:r>
        <w:rPr>
          <w:rFonts w:ascii="Calibri" w:cs="Calibri" w:eastAsia="Calibri" w:hAnsi="Calibri"/>
          <w:sz w:val="21"/>
          <w:szCs w:val="21"/>
        </w:rPr>
        <w:t xml:space="preserve">– System Guarantee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Doctrine Count: </w:t>
      </w:r>
      <w:r>
        <w:rPr>
          <w:rFonts w:ascii="Calibri" w:cs="Calibri" w:eastAsia="Calibri" w:hAnsi="Calibri"/>
          <w:sz w:val="22"/>
          <w:szCs w:val="22"/>
        </w:rPr>
        <w:t xml:space="preserve">8 registered canon units (enforcement system)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Cross-References: </w:t>
      </w:r>
      <w:r>
        <w:rPr>
          <w:rFonts w:ascii="Calibri" w:cs="Calibri" w:eastAsia="Calibri" w:hAnsi="Calibri"/>
          <w:sz w:val="22"/>
          <w:szCs w:val="22"/>
        </w:rPr>
        <w:t xml:space="preserve">Vol III (pipeline specs), Vol IV (governance authority), Canon III (lessons)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Control Documents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RCAM (Canon Assembly Matrix) — Routes every source document to its canonical volume destination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Doctrine Registry — Master index of all registered canon with IDs, types, and cross-references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This document — Quick-reference lens of what each volume contains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Totals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5 Volumes + 1 Sub-volume (II-A) + 1 Canon supplement (Canon III)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2 Control Documents (RCAM, Doctrine Registry)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49 registered doctrine units (Doctrine Registry v2.1)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RevisionGrade Volumes I–V — Definitions and Content Registry View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2026-03-20T19:31:15.608Z</dcterms:created>
  <dcterms:modified xsi:type="dcterms:W3CDTF">2026-03-20T19:31:15.608Z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