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a03751cfb107c31797cc9dd5e6317336a96a50"/>
    <w:p>
      <w:pPr>
        <w:pStyle w:val="Heading1"/>
      </w:pPr>
      <w:r>
        <w:t xml:space="preserve">LMS Database Schema and Normalization Decisions</w:t>
      </w:r>
    </w:p>
    <w:p>
      <w:pPr>
        <w:pStyle w:val="FirstParagraph"/>
      </w:pPr>
      <w:r>
        <w:t xml:space="preserve">This is a standalone logical database design based on</w:t>
      </w:r>
      <w:r>
        <w:t xml:space="preserve"> </w:t>
      </w:r>
      <w:r>
        <w:rPr>
          <w:rStyle w:val="VerbatimChar"/>
        </w:rPr>
        <w:t xml:space="preserve">LMS DOC..docx</w:t>
      </w:r>
      <w:r>
        <w:t xml:space="preserve">. It is not tied to a repository, framework, or database engine.</w:t>
      </w:r>
    </w:p>
    <w:p>
      <w:pPr>
        <w:pStyle w:val="BodyText"/>
      </w:pPr>
      <w:r>
        <w:rPr>
          <w:rStyle w:val="VerbatimChar"/>
        </w:rPr>
        <w:t xml:space="preserve">PK</w:t>
      </w:r>
      <w:r>
        <w:t xml:space="preserve"> </w:t>
      </w:r>
      <w:r>
        <w:t xml:space="preserve">means primary key;</w:t>
      </w:r>
      <w:r>
        <w:t xml:space="preserve"> </w:t>
      </w:r>
      <w:r>
        <w:rPr>
          <w:rStyle w:val="VerbatimChar"/>
        </w:rPr>
        <w:t xml:space="preserve">FK</w:t>
      </w:r>
      <w:r>
        <w:t xml:space="preserve"> </w:t>
      </w:r>
      <w:r>
        <w:t xml:space="preserve">means foreign key.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indicate constraints.</w:t>
      </w:r>
    </w:p>
    <w:bookmarkStart w:id="9" w:name="identity-and-access"/>
    <w:p>
      <w:pPr>
        <w:pStyle w:val="Heading2"/>
      </w:pPr>
      <w:r>
        <w:t xml:space="preserve">Identity and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UNIQUE,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roles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UNIQUE. Values include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lecturer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user_roles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assigned_at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assigned_by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composite PK 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lecturer_approval_events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approval_id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lecturer_user_id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administrator_user_id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decided_at</w:t>
      </w:r>
    </w:p>
    <w:p>
      <w:pPr>
        <w:pStyle w:val="FirstParagraph"/>
      </w:pPr>
      <w:r>
        <w:t xml:space="preserve">Approval events are separate from user identity and role assignment so approval history can be retained without duplicating user attributes.</w:t>
      </w:r>
    </w:p>
    <w:bookmarkEnd w:id="9"/>
    <w:bookmarkStart w:id="10" w:name="courses-and-materials"/>
    <w:p>
      <w:pPr>
        <w:pStyle w:val="Heading2"/>
      </w:pPr>
      <w:r>
        <w:t xml:space="preserve">Courses and Materials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courses</w:t>
      </w:r>
      <w:r>
        <w:t xml:space="preserve">: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owner_user_id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ai_enabled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enrolments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enrolled_at</w:t>
      </w:r>
      <w:r>
        <w:t xml:space="preserve">; composite PK (</w:t>
      </w:r>
      <w:r>
        <w:rPr>
          <w:rStyle w:val="VerbatimChar"/>
        </w:rPr>
        <w:t xml:space="preserve">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concept_id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; UNIQUE (</w:t>
      </w:r>
      <w:r>
        <w:rPr>
          <w:rStyle w:val="VerbatimChar"/>
        </w:rPr>
        <w:t xml:space="preserve">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concept_prerequisites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concept_id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prerequisite_concept_id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concepts</w:t>
      </w:r>
      <w:r>
        <w:t xml:space="preserve">; composite PK (</w:t>
      </w:r>
      <w:r>
        <w:rPr>
          <w:rStyle w:val="VerbatimChar"/>
        </w:rPr>
        <w:t xml:space="preserve">concept_id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prerequisite_concept_id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materials</w:t>
      </w:r>
      <w:r>
        <w:t xml:space="preserve">:</w:t>
      </w:r>
      <w:r>
        <w:t xml:space="preserve"> </w:t>
      </w:r>
      <w:r>
        <w:rPr>
          <w:rStyle w:val="VerbatimChar"/>
        </w:rPr>
        <w:t xml:space="preserve">material_id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uploaded_by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uploaded_at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material_sections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material_id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section_order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source_location_type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source_location_value</w:t>
      </w:r>
      <w:r>
        <w:t xml:space="preserve">; UNIQUE (</w:t>
      </w:r>
      <w:r>
        <w:rPr>
          <w:rStyle w:val="VerbatimChar"/>
        </w:rPr>
        <w:t xml:space="preserve">material_id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section_order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material_section_concepts</w:t>
      </w:r>
      <w:r>
        <w:t xml:space="preserve">: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concept_id</w:t>
      </w:r>
      <w:r>
        <w:t xml:space="preserve"> </w:t>
      </w:r>
      <w:r>
        <w:t xml:space="preserve">FK; composite PK (</w:t>
      </w:r>
      <w:r>
        <w:rPr>
          <w:rStyle w:val="VerbatimChar"/>
        </w:rPr>
        <w:t xml:space="preserve">section_id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concept_id</w:t>
      </w:r>
      <w:r>
        <w:t xml:space="preserve">)</w:t>
      </w:r>
    </w:p>
    <w:bookmarkEnd w:id="10"/>
    <w:bookmarkStart w:id="11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results_released_at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results_released_by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cmb_enabled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assignment_questions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question_concepts</w:t>
      </w:r>
      <w:r>
        <w:t xml:space="preserve">: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concept_id</w:t>
      </w:r>
      <w:r>
        <w:t xml:space="preserve"> </w:t>
      </w:r>
      <w:r>
        <w:t xml:space="preserve">FK; composite PK (</w:t>
      </w:r>
      <w:r>
        <w:rPr>
          <w:rStyle w:val="VerbatimChar"/>
        </w:rPr>
        <w:t xml:space="preserve">question_id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concept_id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submissions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submission_id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submitted_at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marking_status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marks</w:t>
      </w:r>
      <w:r>
        <w:t xml:space="preserve">:</w:t>
      </w:r>
      <w:r>
        <w:t xml:space="preserve"> </w:t>
      </w:r>
      <w:r>
        <w:rPr>
          <w:rStyle w:val="VerbatimChar"/>
        </w:rPr>
        <w:t xml:space="preserve">submission_id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lecturer_comment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graded_by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graded_at</w:t>
      </w:r>
      <w:r>
        <w:t xml:space="preserve">; composite PK (</w:t>
      </w:r>
      <w:r>
        <w:rPr>
          <w:rStyle w:val="VerbatimChar"/>
        </w:rPr>
        <w:t xml:space="preserve">submission_id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)</w:t>
      </w:r>
    </w:p>
    <w:bookmarkEnd w:id="11"/>
    <w:bookmarkStart w:id="12" w:name="concept-to-mastery-bridge-cmb"/>
    <w:p>
      <w:pPr>
        <w:pStyle w:val="Heading2"/>
      </w:pPr>
      <w:r>
        <w:t xml:space="preserve">Concept-to-Mastery Bridge (CMB)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cmb_items</w:t>
      </w:r>
      <w:r>
        <w:t xml:space="preserve">: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item_type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diagnostic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cmb_item_concepts</w:t>
      </w:r>
      <w:r>
        <w:t xml:space="preserve">: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concept_id</w:t>
      </w:r>
      <w:r>
        <w:t xml:space="preserve"> </w:t>
      </w:r>
      <w:r>
        <w:t xml:space="preserve">FK; composite PK (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concept_id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diagnostic_sessions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submission_id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response_id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cmb_items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confidence_choice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response_time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candidate_explanations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explanation_id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concept_id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interventions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intervention_id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explanation_id</w:t>
      </w:r>
      <w:r>
        <w:t xml:space="preserve"> </w:t>
      </w:r>
      <w:r>
        <w:t xml:space="preserve">FK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recommended_resources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intervention_id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material_sections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; composite PK (</w:t>
      </w:r>
      <w:r>
        <w:rPr>
          <w:rStyle w:val="VerbatimChar"/>
        </w:rPr>
        <w:t xml:space="preserve">intervention_id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followup_results</w:t>
      </w:r>
      <w:r>
        <w:t xml:space="preserve">:</w:t>
      </w:r>
      <w:r>
        <w:t xml:space="preserve"> </w:t>
      </w:r>
      <w:r>
        <w:rPr>
          <w:rStyle w:val="VerbatimChar"/>
        </w:rPr>
        <w:t xml:space="preserve">followup_id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intervention_id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cmb_items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answered_at</w:t>
      </w:r>
    </w:p>
    <w:p>
      <w:pPr>
        <w:pStyle w:val="FirstParagraph"/>
      </w:pPr>
      <w:r>
        <w:t xml:space="preserve">A follow-up must use a verification item, not the original assessment item. A response must use an item of a permitted diagnostic or practice type, according to the CMB workflow.</w:t>
      </w:r>
    </w:p>
    <w:bookmarkEnd w:id="12"/>
    <w:bookmarkStart w:id="13" w:name="audit-and-ai-gateway"/>
    <w:p>
      <w:pPr>
        <w:pStyle w:val="Heading2"/>
      </w:pPr>
      <w:r>
        <w:t xml:space="preserve">Audit and AI Gateway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access_logs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occurred_at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ai_gateway_requests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ai_gateway_request_sources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material_sections</w:t>
      </w:r>
      <w:r>
        <w:t xml:space="preserve">; composite PK (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access_logs.target_type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form a polymorphic reference, so normal foreign-key enforcement is not available for every target type. Keep it audit-focused and enforce authorization in application logic. The AI Gateway log should record source references and request metadata; avoid retaining sensitive prompt content unless retention is explicitly required.</w:t>
      </w:r>
    </w:p>
    <w:bookmarkEnd w:id="13"/>
    <w:bookmarkStart w:id="14" w:name="relationships"/>
    <w:p>
      <w:pPr>
        <w:pStyle w:val="Heading2"/>
      </w:pPr>
      <w:r>
        <w:t xml:space="preserve">Relationships</w:t>
      </w:r>
    </w:p>
    <w:p>
      <w:pPr>
        <w:pStyle w:val="Compact"/>
        <w:numPr>
          <w:ilvl w:val="0"/>
          <w:numId w:val="1006"/>
        </w:numPr>
      </w:pPr>
      <w:r>
        <w:t xml:space="preserve">Users and Roles are many-to-many through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lecturer owns Courses. Users and Courses are many-to-many through</w:t>
      </w:r>
      <w:r>
        <w:t xml:space="preserve"> </w:t>
      </w:r>
      <w:r>
        <w:rPr>
          <w:rStyle w:val="VerbatimChar"/>
        </w:rPr>
        <w:t xml:space="preserve">enrolments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Courses have Concepts, Materials, and Assignments.</w:t>
      </w:r>
    </w:p>
    <w:p>
      <w:pPr>
        <w:pStyle w:val="Compact"/>
        <w:numPr>
          <w:ilvl w:val="0"/>
          <w:numId w:val="1006"/>
        </w:numPr>
      </w:pPr>
      <w:r>
        <w:t xml:space="preserve">Concepts can depend on other Concepts through</w:t>
      </w:r>
      <w:r>
        <w:t xml:space="preserve"> </w:t>
      </w:r>
      <w:r>
        <w:rPr>
          <w:rStyle w:val="VerbatimChar"/>
        </w:rPr>
        <w:t xml:space="preserve">concept_prerequisites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Materials have Material Sections; sections map to Concepts through</w:t>
      </w:r>
      <w:r>
        <w:t xml:space="preserve"> </w:t>
      </w:r>
      <w:r>
        <w:rPr>
          <w:rStyle w:val="VerbatimChar"/>
        </w:rPr>
        <w:t xml:space="preserve">material_section_concepts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Assignments have Assignment Questions; questions map to Concepts through</w:t>
      </w:r>
      <w:r>
        <w:t xml:space="preserve"> </w:t>
      </w:r>
      <w:r>
        <w:rPr>
          <w:rStyle w:val="VerbatimChar"/>
        </w:rPr>
        <w:t xml:space="preserve">question_concepts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Each Submission belongs to one Assignment and one User. Marks belong to a Submission and an Assignment Question.</w:t>
      </w:r>
    </w:p>
    <w:p>
      <w:pPr>
        <w:pStyle w:val="Compact"/>
        <w:numPr>
          <w:ilvl w:val="0"/>
          <w:numId w:val="1006"/>
        </w:numPr>
      </w:pPr>
      <w:r>
        <w:t xml:space="preserve">A Submission can have Diagnostic Sessions. Sessions contain Responses and Candidate Explanations.</w:t>
      </w:r>
    </w:p>
    <w:p>
      <w:pPr>
        <w:pStyle w:val="Compact"/>
        <w:numPr>
          <w:ilvl w:val="0"/>
          <w:numId w:val="1006"/>
        </w:numPr>
      </w:pPr>
      <w:r>
        <w:t xml:space="preserve">Candidate Explanations can lead to Interventions. Interventions link to recommended material sections and follow-up results.</w:t>
      </w:r>
    </w:p>
    <w:p>
      <w:pPr>
        <w:pStyle w:val="Compact"/>
        <w:numPr>
          <w:ilvl w:val="0"/>
          <w:numId w:val="1006"/>
        </w:numPr>
      </w:pPr>
      <w:r>
        <w:t xml:space="preserve">CMB items are mapped to Concepts and are referenced by diagnostic Responses and Follow-up Results.</w:t>
      </w:r>
    </w:p>
    <w:p>
      <w:pPr>
        <w:pStyle w:val="Compact"/>
        <w:numPr>
          <w:ilvl w:val="0"/>
          <w:numId w:val="1006"/>
        </w:numPr>
      </w:pPr>
      <w:r>
        <w:t xml:space="preserve">Users generate Access Logs. AI Gateway requests can reference the lecturer-approved source sections used.</w:t>
      </w:r>
    </w:p>
    <w:bookmarkEnd w:id="14"/>
    <w:bookmarkStart w:id="18" w:name="normalization-decisions"/>
    <w:p>
      <w:pPr>
        <w:pStyle w:val="Heading2"/>
      </w:pPr>
      <w:r>
        <w:t xml:space="preserve">Normalization Decisions</w:t>
      </w:r>
    </w:p>
    <w:bookmarkStart w:id="15" w:name="first-normal-form-1nf"/>
    <w:p>
      <w:pPr>
        <w:pStyle w:val="Heading3"/>
      </w:pPr>
      <w:r>
        <w:t xml:space="preserve">First Normal Form (1NF)</w:t>
      </w:r>
    </w:p>
    <w:p>
      <w:pPr>
        <w:pStyle w:val="Compact"/>
        <w:numPr>
          <w:ilvl w:val="0"/>
          <w:numId w:val="1007"/>
        </w:numPr>
      </w:pPr>
      <w:r>
        <w:t xml:space="preserve">Store one value per field; do not store comma-separated roles, concepts, prerequisites, resources, or answers.</w:t>
      </w:r>
    </w:p>
    <w:p>
      <w:pPr>
        <w:pStyle w:val="Compact"/>
        <w:numPr>
          <w:ilvl w:val="0"/>
          <w:numId w:val="1007"/>
        </w:numPr>
      </w:pPr>
      <w:r>
        <w:t xml:space="preserve">Represent repeating relationships as separate rows in junction tables.</w:t>
      </w:r>
    </w:p>
    <w:p>
      <w:pPr>
        <w:pStyle w:val="Compact"/>
        <w:numPr>
          <w:ilvl w:val="0"/>
          <w:numId w:val="1007"/>
        </w:numPr>
      </w:pPr>
      <w:r>
        <w:t xml:space="preserve">Keep each assessment response, mark, recommendation, and prerequisite link as its own record.</w:t>
      </w:r>
    </w:p>
    <w:bookmarkEnd w:id="15"/>
    <w:bookmarkStart w:id="16" w:name="second-normal-form-2nf"/>
    <w:p>
      <w:pPr>
        <w:pStyle w:val="Heading3"/>
      </w:pPr>
      <w:r>
        <w:t xml:space="preserve">Second Normal Form (2NF)</w:t>
      </w:r>
    </w:p>
    <w:p>
      <w:pPr>
        <w:pStyle w:val="Compact"/>
        <w:numPr>
          <w:ilvl w:val="0"/>
          <w:numId w:val="1008"/>
        </w:numPr>
      </w:pPr>
      <w:r>
        <w:t xml:space="preserve">In tables with composite keys, every non-key attribute depends on the complete key.</w:t>
      </w:r>
    </w:p>
    <w:p>
      <w:pPr>
        <w:pStyle w:val="Compact"/>
        <w:numPr>
          <w:ilvl w:val="0"/>
          <w:numId w:val="1008"/>
        </w:numPr>
      </w:pPr>
      <w:r>
        <w:t xml:space="preserve">For example, a recommendation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depends on the specific (</w:t>
      </w:r>
      <w:r>
        <w:rPr>
          <w:rStyle w:val="VerbatimChar"/>
        </w:rPr>
        <w:t xml:space="preserve">intervention_id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) pair.</w:t>
      </w:r>
    </w:p>
    <w:p>
      <w:pPr>
        <w:pStyle w:val="Compact"/>
        <w:numPr>
          <w:ilvl w:val="0"/>
          <w:numId w:val="1008"/>
        </w:numPr>
      </w:pPr>
      <w:r>
        <w:t xml:space="preserve">An enrolment’s status depends on the (</w:t>
      </w:r>
      <w:r>
        <w:rPr>
          <w:rStyle w:val="VerbatimChar"/>
        </w:rPr>
        <w:t xml:space="preserve">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 pair, not just one side.</w:t>
      </w:r>
    </w:p>
    <w:bookmarkEnd w:id="16"/>
    <w:bookmarkStart w:id="17" w:name="third-normal-form-3nf"/>
    <w:p>
      <w:pPr>
        <w:pStyle w:val="Heading3"/>
      </w:pPr>
      <w:r>
        <w:t xml:space="preserve">Third Normal Form (3NF)</w:t>
      </w:r>
    </w:p>
    <w:p>
      <w:pPr>
        <w:pStyle w:val="Compact"/>
        <w:numPr>
          <w:ilvl w:val="0"/>
          <w:numId w:val="1009"/>
        </w:numPr>
      </w:pPr>
      <w:r>
        <w:t xml:space="preserve">Store each entity’s descriptive attributes only in its own table: role names in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 course titles in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 concept names in</w:t>
      </w:r>
      <w:r>
        <w:t xml:space="preserve"> </w:t>
      </w:r>
      <w:r>
        <w:rPr>
          <w:rStyle w:val="VerbatimChar"/>
        </w:rPr>
        <w:t xml:space="preserve">concepts</w:t>
      </w:r>
      <w:r>
        <w:t xml:space="preserve">, and section text in</w:t>
      </w:r>
      <w:r>
        <w:t xml:space="preserve"> </w:t>
      </w:r>
      <w:r>
        <w:rPr>
          <w:rStyle w:val="VerbatimChar"/>
        </w:rPr>
        <w:t xml:space="preserve">material_sections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Store references as foreign keys instead of copying names or titles into enrolments, submissions, marks, and recommendations.</w:t>
      </w:r>
    </w:p>
    <w:p>
      <w:pPr>
        <w:pStyle w:val="Compact"/>
        <w:numPr>
          <w:ilvl w:val="0"/>
          <w:numId w:val="1009"/>
        </w:numPr>
      </w:pPr>
      <w:r>
        <w:t xml:space="preserve">Keep question score limits with the assignment-question relationship, not on reusable CMB items.</w:t>
      </w:r>
    </w:p>
    <w:bookmarkEnd w:id="17"/>
    <w:bookmarkEnd w:id="18"/>
    <w:bookmarkStart w:id="19" w:name="integrity-and-derived-data"/>
    <w:p>
      <w:pPr>
        <w:pStyle w:val="Heading2"/>
      </w:pPr>
      <w:r>
        <w:t xml:space="preserve">Integrity and Derived Data</w:t>
      </w:r>
    </w:p>
    <w:p>
      <w:pPr>
        <w:pStyle w:val="Compact"/>
        <w:numPr>
          <w:ilvl w:val="0"/>
          <w:numId w:val="1010"/>
        </w:numPr>
      </w:pPr>
      <w:r>
        <w:t xml:space="preserve">Calculate grade totals, class analytics, and CMB eligibility from source records rather than persisting duplicated aggregates.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results_released_at</w:t>
      </w:r>
      <w:r>
        <w:t xml:space="preserve"> </w:t>
      </w:r>
      <w:r>
        <w:t xml:space="preserve">rather than storing both a release timestamp and a redundant released flag; a null timestamp means unreleased.</w:t>
      </w:r>
    </w:p>
    <w:p>
      <w:pPr>
        <w:pStyle w:val="Compact"/>
        <w:numPr>
          <w:ilvl w:val="0"/>
          <w:numId w:val="1010"/>
        </w:numPr>
      </w:pPr>
      <w:r>
        <w:t xml:space="preserve">Keep workflow states such as</w:t>
      </w:r>
      <w:r>
        <w:t xml:space="preserve"> </w:t>
      </w:r>
      <w:r>
        <w:rPr>
          <w:rStyle w:val="VerbatimChar"/>
        </w:rPr>
        <w:t xml:space="preserve">account_status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lifecycle_status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marking_status</w:t>
      </w:r>
      <w:r>
        <w:t xml:space="preserve"> </w:t>
      </w:r>
      <w:r>
        <w:t xml:space="preserve">only where explicit transitions are needed.</w:t>
      </w:r>
    </w:p>
    <w:p>
      <w:pPr>
        <w:pStyle w:val="Compact"/>
        <w:numPr>
          <w:ilvl w:val="0"/>
          <w:numId w:val="1010"/>
        </w:numPr>
      </w:pPr>
      <w:r>
        <w:t xml:space="preserve">Enforce that a submission’s marked question belongs to its assignment, and that mapped materials, questions, and CMB items refer to concepts in the same course.</w:t>
      </w:r>
    </w:p>
    <w:p>
      <w:pPr>
        <w:pStyle w:val="Compact"/>
        <w:numPr>
          <w:ilvl w:val="0"/>
          <w:numId w:val="1010"/>
        </w:numPr>
      </w:pPr>
      <w:r>
        <w:t xml:space="preserve">Prevent a concept from being its own prerequisite and reject prerequisite cycles.</w:t>
      </w:r>
    </w:p>
    <w:p>
      <w:pPr>
        <w:pStyle w:val="Compact"/>
        <w:numPr>
          <w:ilvl w:val="0"/>
          <w:numId w:val="1010"/>
        </w:numPr>
      </w:pPr>
      <w:r>
        <w:t xml:space="preserve">Suppress lecturer analytics for groups below the minimum size specified by the project documentation.</w:t>
      </w:r>
    </w:p>
    <w:p>
      <w:pPr>
        <w:pStyle w:val="Compact"/>
        <w:numPr>
          <w:ilvl w:val="0"/>
          <w:numId w:val="1010"/>
        </w:numPr>
      </w:pPr>
      <w:r>
        <w:t xml:space="preserve">The reading companion is ungraded and must not read marks or create diagnostic records unless the student opts in.</w:t>
      </w:r>
    </w:p>
    <w:bookmarkEnd w:id="19"/>
    <w:bookmarkStart w:id="20" w:name="assumptions-to-confirm"/>
    <w:p>
      <w:pPr>
        <w:pStyle w:val="Heading2"/>
      </w:pPr>
      <w:r>
        <w:t xml:space="preserve">Assumptions to Confirm</w:t>
      </w:r>
    </w:p>
    <w:p>
      <w:pPr>
        <w:pStyle w:val="Compact"/>
        <w:numPr>
          <w:ilvl w:val="0"/>
          <w:numId w:val="1011"/>
        </w:numPr>
      </w:pPr>
      <w:r>
        <w:t xml:space="preserve">This design treats result release as assignment-wide, following the document’s assignment-level release fields. If release is per student, move release timestamp and releaser to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assignment_questions</w:t>
      </w:r>
      <w:r>
        <w:t xml:space="preserve"> </w:t>
      </w:r>
      <w:r>
        <w:t xml:space="preserve">models assignment-specific questions. If questions must be reused across assignments, split question content into a reusable</w:t>
      </w:r>
      <w:r>
        <w:t xml:space="preserve"> </w:t>
      </w:r>
      <w:r>
        <w:rPr>
          <w:rStyle w:val="VerbatimChar"/>
        </w:rPr>
        <w:t xml:space="preserve">question_items</w:t>
      </w:r>
      <w:r>
        <w:t xml:space="preserve"> </w:t>
      </w:r>
      <w:r>
        <w:t xml:space="preserve">table and connect it through an</w:t>
      </w:r>
      <w:r>
        <w:t xml:space="preserve"> </w:t>
      </w:r>
      <w:r>
        <w:rPr>
          <w:rStyle w:val="VerbatimChar"/>
        </w:rPr>
        <w:t xml:space="preserve">assignment_questions</w:t>
      </w:r>
      <w:r>
        <w:t xml:space="preserve"> </w:t>
      </w:r>
      <w:r>
        <w:t xml:space="preserve">junction/association table.</w:t>
      </w:r>
    </w:p>
    <w:p>
      <w:pPr>
        <w:pStyle w:val="Compact"/>
        <w:numPr>
          <w:ilvl w:val="0"/>
          <w:numId w:val="1011"/>
        </w:numPr>
      </w:pPr>
      <w:r>
        <w:t xml:space="preserve">The document does not specify exact status values, database types, retention periods, or the minimum analytics group size; decide these during implementation.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2026-10-27T05:38:22Z</dcterms:created>
  <dcterms:modified xsi:type="dcterms:W3CDTF">2026-10-27T05:38:22Z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