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DF4E4" w14:textId="76D80F72" w:rsidR="00FD21E6" w:rsidRDefault="00FD21E6" w:rsidP="00FD21E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Financiamiento</w:t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de Emprendimiento Mueblería de Restauración “Casa Monje”</w:t>
      </w:r>
      <w:r w:rsidRPr="006E7A86">
        <w:rPr>
          <w:rFonts w:ascii="Arial" w:eastAsia="Times New Roman" w:hAnsi="Arial" w:cs="Arial"/>
          <w:b/>
          <w:bCs/>
          <w:vanish/>
          <w:sz w:val="28"/>
          <w:szCs w:val="28"/>
          <w:lang w:eastAsia="es-CL"/>
        </w:rPr>
        <w:t>Final del formulario</w:t>
      </w:r>
    </w:p>
    <w:p w14:paraId="59D57223" w14:textId="5D1ABAA5" w:rsidR="00FD21E6" w:rsidRPr="006E7A86" w:rsidRDefault="00FD21E6" w:rsidP="00FD21E6">
      <w:pPr>
        <w:tabs>
          <w:tab w:val="left" w:pos="5460"/>
          <w:tab w:val="center" w:pos="7002"/>
        </w:tabs>
        <w:spacing w:line="360" w:lineRule="auto"/>
        <w:rPr>
          <w:rFonts w:ascii="Arial" w:eastAsia="Times New Roman" w:hAnsi="Arial" w:cs="Arial"/>
          <w:b/>
          <w:bCs/>
          <w:vanish/>
          <w:sz w:val="28"/>
          <w:szCs w:val="28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L"/>
        </w:rPr>
        <w:tab/>
      </w:r>
    </w:p>
    <w:p w14:paraId="01F8829C" w14:textId="77777777" w:rsidR="00FD21E6" w:rsidRPr="00226907" w:rsidRDefault="00FD21E6" w:rsidP="00FD21E6">
      <w:pPr>
        <w:spacing w:line="360" w:lineRule="auto"/>
        <w:jc w:val="center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tblpX="-459" w:tblpY="1"/>
        <w:tblOverlap w:val="never"/>
        <w:tblW w:w="14601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2552"/>
        <w:gridCol w:w="2835"/>
        <w:gridCol w:w="2693"/>
        <w:gridCol w:w="2552"/>
      </w:tblGrid>
      <w:tr w:rsidR="00647FED" w14:paraId="7515D358" w14:textId="77777777" w:rsidTr="00FD21E6">
        <w:tc>
          <w:tcPr>
            <w:tcW w:w="1843" w:type="dxa"/>
            <w:tcBorders>
              <w:right w:val="nil"/>
            </w:tcBorders>
            <w:shd w:val="pct12" w:color="auto" w:fill="auto"/>
          </w:tcPr>
          <w:p w14:paraId="189B3A89" w14:textId="77777777" w:rsidR="00225A29" w:rsidRPr="00FD21E6" w:rsidRDefault="00225A29" w:rsidP="00FD21E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Etapa</w:t>
            </w:r>
          </w:p>
        </w:tc>
        <w:tc>
          <w:tcPr>
            <w:tcW w:w="2126" w:type="dxa"/>
            <w:tcBorders>
              <w:left w:val="nil"/>
              <w:right w:val="nil"/>
            </w:tcBorders>
            <w:shd w:val="pct12" w:color="auto" w:fill="auto"/>
          </w:tcPr>
          <w:p w14:paraId="16215471" w14:textId="77777777" w:rsidR="00225A29" w:rsidRPr="00FD21E6" w:rsidRDefault="00225A29" w:rsidP="00FD21E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Financiamiento</w:t>
            </w:r>
          </w:p>
        </w:tc>
        <w:tc>
          <w:tcPr>
            <w:tcW w:w="2552" w:type="dxa"/>
            <w:tcBorders>
              <w:left w:val="nil"/>
              <w:right w:val="nil"/>
            </w:tcBorders>
            <w:shd w:val="pct12" w:color="auto" w:fill="auto"/>
          </w:tcPr>
          <w:p w14:paraId="17B12F25" w14:textId="77777777" w:rsidR="00225A29" w:rsidRPr="00FD21E6" w:rsidRDefault="00225A29" w:rsidP="00FD21E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Justificación</w:t>
            </w:r>
          </w:p>
        </w:tc>
        <w:tc>
          <w:tcPr>
            <w:tcW w:w="2835" w:type="dxa"/>
            <w:tcBorders>
              <w:left w:val="nil"/>
              <w:right w:val="nil"/>
            </w:tcBorders>
            <w:shd w:val="pct12" w:color="auto" w:fill="auto"/>
          </w:tcPr>
          <w:p w14:paraId="036A6BD9" w14:textId="3C9337FF" w:rsidR="00225A29" w:rsidRPr="00FD21E6" w:rsidRDefault="00225A29" w:rsidP="00FD21E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Ventajas</w:t>
            </w:r>
          </w:p>
        </w:tc>
        <w:tc>
          <w:tcPr>
            <w:tcW w:w="2693" w:type="dxa"/>
            <w:tcBorders>
              <w:left w:val="nil"/>
            </w:tcBorders>
            <w:shd w:val="pct12" w:color="auto" w:fill="auto"/>
          </w:tcPr>
          <w:p w14:paraId="24B8094C" w14:textId="77777777" w:rsidR="00225A29" w:rsidRPr="00FD21E6" w:rsidRDefault="00225A29" w:rsidP="00FD21E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Desventajas</w:t>
            </w:r>
          </w:p>
        </w:tc>
        <w:tc>
          <w:tcPr>
            <w:tcW w:w="2552" w:type="dxa"/>
            <w:tcBorders>
              <w:left w:val="nil"/>
            </w:tcBorders>
            <w:shd w:val="pct12" w:color="auto" w:fill="auto"/>
          </w:tcPr>
          <w:p w14:paraId="43497B8E" w14:textId="77777777" w:rsidR="00225A29" w:rsidRPr="00FD21E6" w:rsidRDefault="00225A29" w:rsidP="00FD21E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Puntos Clave</w:t>
            </w:r>
          </w:p>
        </w:tc>
      </w:tr>
      <w:tr w:rsidR="00647FED" w14:paraId="7641C23B" w14:textId="77777777" w:rsidTr="00FD21E6">
        <w:tc>
          <w:tcPr>
            <w:tcW w:w="1843" w:type="dxa"/>
          </w:tcPr>
          <w:p w14:paraId="42B52195" w14:textId="77777777" w:rsidR="00FD21E6" w:rsidRPr="00FD21E6" w:rsidRDefault="00FD21E6" w:rsidP="00FD21E6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6159D239" w14:textId="2DB98F24" w:rsidR="00225A29" w:rsidRPr="00FD21E6" w:rsidRDefault="00225A29" w:rsidP="00FD21E6">
            <w:pPr>
              <w:jc w:val="both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 xml:space="preserve">Pre-Semilla </w:t>
            </w:r>
          </w:p>
        </w:tc>
        <w:tc>
          <w:tcPr>
            <w:tcW w:w="2126" w:type="dxa"/>
          </w:tcPr>
          <w:p w14:paraId="54B4C14A" w14:textId="77777777" w:rsidR="00FD21E6" w:rsidRPr="00FD21E6" w:rsidRDefault="00FD21E6" w:rsidP="00FD21E6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4DE2CD44" w14:textId="6A5B8972" w:rsidR="00225A29" w:rsidRPr="00FD21E6" w:rsidRDefault="00225A29" w:rsidP="00FD21E6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FD21E6">
              <w:rPr>
                <w:rFonts w:ascii="Arial" w:hAnsi="Arial" w:cs="Arial"/>
                <w:b/>
                <w:bCs/>
              </w:rPr>
              <w:t>Bootstrapping</w:t>
            </w:r>
            <w:proofErr w:type="spellEnd"/>
          </w:p>
        </w:tc>
        <w:tc>
          <w:tcPr>
            <w:tcW w:w="2552" w:type="dxa"/>
          </w:tcPr>
          <w:p w14:paraId="762509E2" w14:textId="77777777" w:rsidR="00FD21E6" w:rsidRDefault="00FD21E6" w:rsidP="00FD21E6">
            <w:pPr>
              <w:jc w:val="both"/>
              <w:rPr>
                <w:rFonts w:ascii="Arial" w:hAnsi="Arial" w:cs="Arial"/>
              </w:rPr>
            </w:pPr>
          </w:p>
          <w:p w14:paraId="10E98D83" w14:textId="35681CC9" w:rsidR="00225A29" w:rsidRDefault="00225A29" w:rsidP="00FD21E6">
            <w:pPr>
              <w:jc w:val="both"/>
              <w:rPr>
                <w:rFonts w:ascii="Arial" w:hAnsi="Arial" w:cs="Arial"/>
              </w:rPr>
            </w:pPr>
            <w:r w:rsidRPr="00A92C53">
              <w:rPr>
                <w:rFonts w:ascii="Arial" w:hAnsi="Arial" w:cs="Arial"/>
              </w:rPr>
              <w:t>“iniciar el negocio con pocos recursos”</w:t>
            </w:r>
            <w:r>
              <w:rPr>
                <w:rFonts w:ascii="Arial" w:hAnsi="Arial" w:cs="Arial"/>
              </w:rPr>
              <w:t>, se emprende con los medios que existen al alcance, de esta manera se evita incurrir en endeudamiento en la primera etapa del emprendimiento</w:t>
            </w:r>
          </w:p>
          <w:p w14:paraId="29947778" w14:textId="3A82EBE0" w:rsidR="00225A29" w:rsidRDefault="00225A29" w:rsidP="00FD21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este caso los medios utilizados provienen de ahorros propios.</w:t>
            </w:r>
          </w:p>
        </w:tc>
        <w:tc>
          <w:tcPr>
            <w:tcW w:w="2835" w:type="dxa"/>
          </w:tcPr>
          <w:p w14:paraId="3E54011F" w14:textId="77777777" w:rsidR="00FD21E6" w:rsidRDefault="00FD21E6" w:rsidP="00FD21E6">
            <w:pPr>
              <w:jc w:val="both"/>
              <w:rPr>
                <w:rFonts w:ascii="Arial" w:hAnsi="Arial" w:cs="Arial"/>
              </w:rPr>
            </w:pPr>
          </w:p>
          <w:p w14:paraId="3FB8106F" w14:textId="2E1D70F3" w:rsidR="00225A29" w:rsidRDefault="00225A29" w:rsidP="00FD21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Además de evitar el endeudamiento, al ser el único inversor determina más enfoque y centrarse en el desarrollo del negocio</w:t>
            </w:r>
            <w:r w:rsidRPr="00666DF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14:paraId="135B4400" w14:textId="77777777" w:rsidR="00225A29" w:rsidRDefault="00225A29" w:rsidP="00FD21E6">
            <w:pPr>
              <w:jc w:val="both"/>
              <w:rPr>
                <w:rFonts w:ascii="Arial" w:hAnsi="Arial" w:cs="Arial"/>
              </w:rPr>
            </w:pPr>
          </w:p>
          <w:p w14:paraId="2F4C6707" w14:textId="77777777" w:rsidR="00225A29" w:rsidRPr="00A92C53" w:rsidRDefault="00225A29" w:rsidP="00FD21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3A59E140" w14:textId="77777777" w:rsidR="00FD21E6" w:rsidRDefault="00FD21E6" w:rsidP="00FD21E6">
            <w:pPr>
              <w:jc w:val="both"/>
              <w:rPr>
                <w:rFonts w:ascii="Arial" w:hAnsi="Arial" w:cs="Arial"/>
              </w:rPr>
            </w:pPr>
          </w:p>
          <w:p w14:paraId="211945C5" w14:textId="37BBCAA5" w:rsidR="00225A29" w:rsidRDefault="00225A29" w:rsidP="00FD21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obligación contar con el capital suficiente para garantizar la supervivencia de la empresa durante los primeros meses</w:t>
            </w:r>
          </w:p>
          <w:p w14:paraId="61966251" w14:textId="77777777" w:rsidR="00225A29" w:rsidRDefault="00225A29" w:rsidP="00FD21E6">
            <w:pPr>
              <w:jc w:val="both"/>
              <w:rPr>
                <w:rFonts w:ascii="Arial" w:hAnsi="Arial" w:cs="Arial"/>
              </w:rPr>
            </w:pPr>
          </w:p>
          <w:p w14:paraId="6146AFC4" w14:textId="77777777" w:rsidR="00225A29" w:rsidRDefault="00225A29" w:rsidP="00FD21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falta de recursos puede impedir la escalabilidad </w:t>
            </w:r>
          </w:p>
          <w:p w14:paraId="6FD1D315" w14:textId="77777777" w:rsidR="00225A29" w:rsidRDefault="00225A29" w:rsidP="00FD21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51C5D8DD" w14:textId="77777777" w:rsidR="00FD21E6" w:rsidRDefault="00FD21E6" w:rsidP="00FD21E6">
            <w:pPr>
              <w:jc w:val="both"/>
              <w:rPr>
                <w:rFonts w:ascii="Arial" w:hAnsi="Arial" w:cs="Arial"/>
              </w:rPr>
            </w:pPr>
          </w:p>
          <w:p w14:paraId="5F9BC782" w14:textId="25232EC4" w:rsidR="00225A29" w:rsidRDefault="005A4781" w:rsidP="00FD21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una proyección de flujo de caja positivo</w:t>
            </w:r>
          </w:p>
        </w:tc>
      </w:tr>
      <w:tr w:rsidR="00647FED" w14:paraId="37F7AE33" w14:textId="77777777" w:rsidTr="00FD21E6">
        <w:trPr>
          <w:trHeight w:val="132"/>
        </w:trPr>
        <w:tc>
          <w:tcPr>
            <w:tcW w:w="1843" w:type="dxa"/>
          </w:tcPr>
          <w:p w14:paraId="53C542E0" w14:textId="65773464" w:rsidR="00225A29" w:rsidRPr="00FD21E6" w:rsidRDefault="00225A29" w:rsidP="00FD21E6">
            <w:pPr>
              <w:jc w:val="both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Semilla</w:t>
            </w:r>
          </w:p>
        </w:tc>
        <w:tc>
          <w:tcPr>
            <w:tcW w:w="2126" w:type="dxa"/>
          </w:tcPr>
          <w:p w14:paraId="51A36583" w14:textId="0F208796" w:rsidR="00225A29" w:rsidRPr="00FD21E6" w:rsidRDefault="00225A29" w:rsidP="00FD21E6">
            <w:pPr>
              <w:jc w:val="both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Fondos Concursables</w:t>
            </w:r>
          </w:p>
          <w:p w14:paraId="047A4024" w14:textId="77777777" w:rsidR="00225A29" w:rsidRPr="00FD21E6" w:rsidRDefault="00225A29" w:rsidP="00FD21E6">
            <w:pPr>
              <w:shd w:val="clear" w:color="auto" w:fill="FFFFFF"/>
              <w:spacing w:before="240" w:after="100" w:afterAutospacing="1"/>
              <w:outlineLvl w:val="2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CORFO</w:t>
            </w:r>
          </w:p>
          <w:p w14:paraId="60FB479E" w14:textId="77777777" w:rsidR="00225A29" w:rsidRPr="00FD21E6" w:rsidRDefault="00797184" w:rsidP="00FD21E6">
            <w:pPr>
              <w:shd w:val="clear" w:color="auto" w:fill="FFFFFF"/>
              <w:spacing w:before="240" w:after="100" w:afterAutospacing="1"/>
              <w:outlineLvl w:val="2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Semilla</w:t>
            </w:r>
          </w:p>
          <w:p w14:paraId="22F76E7D" w14:textId="77777777" w:rsidR="00225A29" w:rsidRPr="00FD21E6" w:rsidRDefault="00225A29" w:rsidP="00FD21E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</w:tcPr>
          <w:p w14:paraId="09566F14" w14:textId="5051ABEF" w:rsidR="00225A29" w:rsidRDefault="00225A29" w:rsidP="00FD21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Institución del estado que apoya a emprendedores para potenciar sus proyectos de negocios, mediante el </w:t>
            </w:r>
            <w:r w:rsidRPr="007E29E4">
              <w:rPr>
                <w:rFonts w:ascii="Arial" w:hAnsi="Arial" w:cs="Arial"/>
              </w:rPr>
              <w:t xml:space="preserve">cofinanciamiento de actividades </w:t>
            </w:r>
            <w:r>
              <w:rPr>
                <w:rFonts w:ascii="Arial" w:hAnsi="Arial" w:cs="Arial"/>
              </w:rPr>
              <w:t>para la puesta en marcha del emprendimiento</w:t>
            </w:r>
            <w:r w:rsidRPr="007E29E4">
              <w:rPr>
                <w:rFonts w:ascii="Arial" w:hAnsi="Arial" w:cs="Arial"/>
              </w:rPr>
              <w:t>.</w:t>
            </w:r>
          </w:p>
        </w:tc>
        <w:tc>
          <w:tcPr>
            <w:tcW w:w="2835" w:type="dxa"/>
          </w:tcPr>
          <w:p w14:paraId="53F0188C" w14:textId="4B9FC2CC" w:rsidR="00225A29" w:rsidRDefault="00225A29" w:rsidP="00FD21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Financiamiento no reembolsable.</w:t>
            </w:r>
          </w:p>
          <w:p w14:paraId="3CEA9B3C" w14:textId="77777777" w:rsidR="00225A29" w:rsidRDefault="00225A29" w:rsidP="00FD21E6">
            <w:pPr>
              <w:jc w:val="both"/>
              <w:rPr>
                <w:rFonts w:ascii="Arial" w:hAnsi="Arial" w:cs="Arial"/>
              </w:rPr>
            </w:pPr>
          </w:p>
          <w:p w14:paraId="0F52279D" w14:textId="77777777" w:rsidR="00797184" w:rsidRDefault="00797184" w:rsidP="00FD21E6">
            <w:pPr>
              <w:jc w:val="both"/>
              <w:rPr>
                <w:rFonts w:ascii="Arial" w:hAnsi="Arial" w:cs="Arial"/>
              </w:rPr>
            </w:pPr>
            <w:r w:rsidRPr="00C23039">
              <w:rPr>
                <w:rFonts w:ascii="Arial" w:hAnsi="Arial" w:cs="Arial"/>
              </w:rPr>
              <w:t xml:space="preserve">Destinado a emprendimientos que se puedan implementar rápidamente, cofinanciando actividades para lograr la validación técnica y comercial del proyecto. </w:t>
            </w:r>
            <w:r w:rsidR="00647FED">
              <w:rPr>
                <w:rFonts w:ascii="Arial" w:hAnsi="Arial" w:cs="Arial"/>
              </w:rPr>
              <w:t xml:space="preserve">Se accede </w:t>
            </w:r>
            <w:r w:rsidRPr="00C23039">
              <w:rPr>
                <w:rFonts w:ascii="Arial" w:hAnsi="Arial" w:cs="Arial"/>
              </w:rPr>
              <w:t xml:space="preserve"> a un subsidio máximo de hasta M$15.000</w:t>
            </w:r>
          </w:p>
          <w:p w14:paraId="5DC66B34" w14:textId="77777777" w:rsidR="00225A29" w:rsidRDefault="00225A29" w:rsidP="00FD21E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200B9A6F" w14:textId="35BDF230" w:rsidR="00225A29" w:rsidRDefault="00225A29" w:rsidP="00FD21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 ser fondos concursables no se tiene plena certeza de ser uno de los beneficiarios.</w:t>
            </w:r>
          </w:p>
        </w:tc>
        <w:tc>
          <w:tcPr>
            <w:tcW w:w="2552" w:type="dxa"/>
          </w:tcPr>
          <w:p w14:paraId="7830676B" w14:textId="3FBCF20B" w:rsidR="00225A29" w:rsidRDefault="00C44393" w:rsidP="00FD21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Innovación </w:t>
            </w:r>
          </w:p>
          <w:p w14:paraId="73FC5E91" w14:textId="77777777" w:rsidR="00C44393" w:rsidRDefault="00C44393" w:rsidP="00FD21E6">
            <w:pPr>
              <w:jc w:val="both"/>
              <w:rPr>
                <w:rFonts w:ascii="Arial" w:hAnsi="Arial" w:cs="Arial"/>
              </w:rPr>
            </w:pPr>
          </w:p>
          <w:p w14:paraId="33C4D3B1" w14:textId="77777777" w:rsidR="00C44393" w:rsidRDefault="00C44393" w:rsidP="00FD21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Empleabilidad</w:t>
            </w:r>
          </w:p>
          <w:p w14:paraId="20FA0040" w14:textId="77777777" w:rsidR="004313BF" w:rsidRDefault="004313BF" w:rsidP="00FD21E6">
            <w:pPr>
              <w:jc w:val="both"/>
              <w:rPr>
                <w:rFonts w:ascii="Arial" w:hAnsi="Arial" w:cs="Arial"/>
              </w:rPr>
            </w:pPr>
          </w:p>
          <w:p w14:paraId="31E84DA6" w14:textId="77777777" w:rsidR="004313BF" w:rsidRDefault="004313BF" w:rsidP="00FD21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 potencial de crecimiento</w:t>
            </w:r>
          </w:p>
        </w:tc>
      </w:tr>
      <w:tr w:rsidR="005A4781" w:rsidRPr="004313BF" w14:paraId="75461F67" w14:textId="77777777" w:rsidTr="00FD21E6">
        <w:tc>
          <w:tcPr>
            <w:tcW w:w="1843" w:type="dxa"/>
            <w:shd w:val="clear" w:color="auto" w:fill="D9D9D9" w:themeFill="background1" w:themeFillShade="D9"/>
          </w:tcPr>
          <w:p w14:paraId="33E2ACA6" w14:textId="77777777" w:rsidR="005A4781" w:rsidRPr="00FD21E6" w:rsidRDefault="005A4781" w:rsidP="00FD21E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Etapa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A063925" w14:textId="77777777" w:rsidR="005A4781" w:rsidRPr="00FD21E6" w:rsidRDefault="005A4781" w:rsidP="00FD21E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Financiamiento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BCAF5F0" w14:textId="77777777" w:rsidR="005A4781" w:rsidRPr="00FD21E6" w:rsidRDefault="005A4781" w:rsidP="00FD21E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Justificación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449EC8D" w14:textId="21A38E0F" w:rsidR="005A4781" w:rsidRPr="00FD21E6" w:rsidRDefault="005A4781" w:rsidP="00FD21E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Ventajas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304BA83" w14:textId="77777777" w:rsidR="005A4781" w:rsidRPr="00FD21E6" w:rsidRDefault="005A4781" w:rsidP="00FD21E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Desventajas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73EC89" w14:textId="77777777" w:rsidR="005A4781" w:rsidRPr="00FD21E6" w:rsidRDefault="005A4781" w:rsidP="00FD21E6">
            <w:pPr>
              <w:jc w:val="center"/>
              <w:rPr>
                <w:rFonts w:ascii="Arial" w:hAnsi="Arial" w:cs="Arial"/>
                <w:b/>
                <w:bCs/>
              </w:rPr>
            </w:pPr>
            <w:r w:rsidRPr="00FD21E6">
              <w:rPr>
                <w:rFonts w:ascii="Arial" w:hAnsi="Arial" w:cs="Arial"/>
                <w:b/>
                <w:bCs/>
              </w:rPr>
              <w:t>Puntos Clave</w:t>
            </w:r>
          </w:p>
        </w:tc>
      </w:tr>
      <w:tr w:rsidR="005A4781" w:rsidRPr="004313BF" w14:paraId="2C2ED704" w14:textId="77777777" w:rsidTr="00FD21E6">
        <w:tc>
          <w:tcPr>
            <w:tcW w:w="1843" w:type="dxa"/>
          </w:tcPr>
          <w:p w14:paraId="1E2FB83E" w14:textId="77777777" w:rsidR="005A4781" w:rsidRPr="00FD21E6" w:rsidRDefault="005A4781" w:rsidP="00FD21E6">
            <w:pPr>
              <w:jc w:val="both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 w:rsidRPr="00FD21E6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Semilla </w:t>
            </w:r>
          </w:p>
        </w:tc>
        <w:tc>
          <w:tcPr>
            <w:tcW w:w="2126" w:type="dxa"/>
          </w:tcPr>
          <w:p w14:paraId="27BBE5E3" w14:textId="77777777" w:rsidR="005A4781" w:rsidRPr="00FD21E6" w:rsidRDefault="005A4781" w:rsidP="00FD21E6">
            <w:pPr>
              <w:jc w:val="both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 w:rsidRPr="00FD21E6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Financiamiento Bancario</w:t>
            </w:r>
          </w:p>
          <w:p w14:paraId="6E6EF441" w14:textId="77777777" w:rsidR="005A4781" w:rsidRPr="00FD21E6" w:rsidRDefault="005A4781" w:rsidP="00FD21E6">
            <w:pPr>
              <w:jc w:val="both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</w:p>
          <w:p w14:paraId="319D43B2" w14:textId="77777777" w:rsidR="005A4781" w:rsidRPr="00FD21E6" w:rsidRDefault="005A4781" w:rsidP="00FD21E6">
            <w:pPr>
              <w:jc w:val="both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 w:rsidRPr="00FD21E6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Banco Estado </w:t>
            </w:r>
          </w:p>
        </w:tc>
        <w:tc>
          <w:tcPr>
            <w:tcW w:w="2552" w:type="dxa"/>
          </w:tcPr>
          <w:p w14:paraId="793AD4A9" w14:textId="77777777" w:rsidR="005A4781" w:rsidRDefault="005A4781" w:rsidP="00FD21E6">
            <w:pPr>
              <w:numPr>
                <w:ilvl w:val="0"/>
                <w:numId w:val="2"/>
              </w:numPr>
              <w:shd w:val="clear" w:color="auto" w:fill="FFFFFF"/>
              <w:spacing w:after="150" w:line="254" w:lineRule="atLeast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Banca </w:t>
            </w:r>
            <w:r w:rsidRPr="006C26F0">
              <w:rPr>
                <w:rFonts w:ascii="Arial" w:hAnsi="Arial" w:cs="Arial"/>
                <w:color w:val="202124"/>
                <w:shd w:val="clear" w:color="auto" w:fill="FFFFFF"/>
              </w:rPr>
              <w:t>Microempresas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crédito destinado a independientes </w:t>
            </w:r>
          </w:p>
          <w:p w14:paraId="60FD3ECB" w14:textId="77777777" w:rsidR="005A4781" w:rsidRPr="004313BF" w:rsidRDefault="005A4781" w:rsidP="00FD21E6">
            <w:pPr>
              <w:shd w:val="clear" w:color="auto" w:fill="FFFFFF"/>
              <w:spacing w:after="150" w:line="254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2835" w:type="dxa"/>
          </w:tcPr>
          <w:p w14:paraId="6E5EE50F" w14:textId="77777777" w:rsidR="005A4781" w:rsidRPr="004313BF" w:rsidRDefault="005A4781" w:rsidP="00FD21E6">
            <w:pPr>
              <w:numPr>
                <w:ilvl w:val="0"/>
                <w:numId w:val="2"/>
              </w:numPr>
              <w:shd w:val="clear" w:color="auto" w:fill="FFFFFF"/>
              <w:spacing w:after="150" w:line="254" w:lineRule="atLeast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Se elige la fecha de vencimiento de las </w:t>
            </w:r>
            <w:r w:rsidRPr="004313BF">
              <w:rPr>
                <w:rFonts w:ascii="Arial" w:hAnsi="Arial" w:cs="Arial"/>
                <w:color w:val="202124"/>
                <w:shd w:val="clear" w:color="auto" w:fill="FFFFFF"/>
              </w:rPr>
              <w:t xml:space="preserve"> cuotas mensuales.</w:t>
            </w:r>
          </w:p>
          <w:p w14:paraId="49865F31" w14:textId="77777777" w:rsidR="005A4781" w:rsidRPr="004313BF" w:rsidRDefault="005A4781" w:rsidP="00FD21E6">
            <w:pPr>
              <w:numPr>
                <w:ilvl w:val="0"/>
                <w:numId w:val="2"/>
              </w:numPr>
              <w:shd w:val="clear" w:color="auto" w:fill="FFFFFF"/>
              <w:spacing w:after="150" w:line="254" w:lineRule="atLeast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Se cancela la </w:t>
            </w:r>
            <w:r w:rsidRPr="004313BF">
              <w:rPr>
                <w:rFonts w:ascii="Arial" w:hAnsi="Arial" w:cs="Arial"/>
                <w:color w:val="202124"/>
                <w:shd w:val="clear" w:color="auto" w:fill="FFFFFF"/>
              </w:rPr>
              <w:t xml:space="preserve"> primera cuota hasta en 3 meses después de solicitado el Crédito.</w:t>
            </w:r>
          </w:p>
          <w:p w14:paraId="42FEC69F" w14:textId="77777777" w:rsidR="005A4781" w:rsidRPr="004313BF" w:rsidRDefault="005A4781" w:rsidP="00FD21E6">
            <w:pPr>
              <w:numPr>
                <w:ilvl w:val="0"/>
                <w:numId w:val="2"/>
              </w:numPr>
              <w:shd w:val="clear" w:color="auto" w:fill="FFFFFF"/>
              <w:spacing w:after="150" w:line="254" w:lineRule="atLeast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Plazo de pago h</w:t>
            </w:r>
            <w:r w:rsidRPr="004313BF">
              <w:rPr>
                <w:rFonts w:ascii="Arial" w:hAnsi="Arial" w:cs="Arial"/>
                <w:color w:val="202124"/>
                <w:shd w:val="clear" w:color="auto" w:fill="FFFFFF"/>
              </w:rPr>
              <w:t>asta 72 meses.</w:t>
            </w:r>
          </w:p>
          <w:p w14:paraId="4316AA36" w14:textId="77777777" w:rsidR="005A4781" w:rsidRPr="004313BF" w:rsidRDefault="005A4781" w:rsidP="00FD21E6">
            <w:pPr>
              <w:numPr>
                <w:ilvl w:val="0"/>
                <w:numId w:val="2"/>
              </w:numPr>
              <w:shd w:val="clear" w:color="auto" w:fill="FFFFFF"/>
              <w:spacing w:after="150" w:line="254" w:lineRule="atLeast"/>
              <w:ind w:left="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2693" w:type="dxa"/>
          </w:tcPr>
          <w:p w14:paraId="578CBB66" w14:textId="77777777" w:rsidR="005A4781" w:rsidRPr="004313BF" w:rsidRDefault="005A4781" w:rsidP="00FD21E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313BF">
              <w:rPr>
                <w:rFonts w:ascii="Arial" w:hAnsi="Arial" w:cs="Arial"/>
                <w:color w:val="202124"/>
                <w:shd w:val="clear" w:color="auto" w:fill="FFFFFF"/>
              </w:rPr>
              <w:t>Endeudamiento a corto o mediano plazo</w:t>
            </w:r>
          </w:p>
          <w:p w14:paraId="4CFE1377" w14:textId="77777777" w:rsidR="005A4781" w:rsidRPr="004313BF" w:rsidRDefault="005A4781" w:rsidP="00FD21E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4A3DAD26" w14:textId="77777777" w:rsidR="005A4781" w:rsidRDefault="005A4781" w:rsidP="00FD21E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313BF">
              <w:rPr>
                <w:rFonts w:ascii="Arial" w:hAnsi="Arial" w:cs="Arial"/>
                <w:color w:val="202124"/>
                <w:shd w:val="clear" w:color="auto" w:fill="FFFFFF"/>
              </w:rPr>
              <w:t>Pago de interés</w:t>
            </w:r>
          </w:p>
          <w:p w14:paraId="3B285A61" w14:textId="77777777" w:rsidR="005A4781" w:rsidRDefault="005A4781" w:rsidP="00FD21E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16201155" w14:textId="77777777" w:rsidR="005A4781" w:rsidRPr="004313BF" w:rsidRDefault="005A4781" w:rsidP="00FD21E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Disminución de capacidad de pago por límites de endeudamiento </w:t>
            </w:r>
            <w:r w:rsidRPr="004313BF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2552" w:type="dxa"/>
          </w:tcPr>
          <w:p w14:paraId="6745B867" w14:textId="77777777" w:rsidR="005A4781" w:rsidRPr="004313BF" w:rsidRDefault="005A4781" w:rsidP="00FD21E6">
            <w:pPr>
              <w:shd w:val="clear" w:color="auto" w:fill="FFFFFF"/>
              <w:spacing w:after="150" w:line="254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313BF">
              <w:rPr>
                <w:rFonts w:ascii="Arial" w:hAnsi="Arial" w:cs="Arial"/>
                <w:color w:val="202124"/>
                <w:shd w:val="clear" w:color="auto" w:fill="FFFFFF"/>
              </w:rPr>
              <w:t>Microempresario, ya sea persona natural o jurídica, que desarrolle una actividad independiente con ventas hasta UF 5.000</w:t>
            </w:r>
          </w:p>
          <w:p w14:paraId="78C02F0A" w14:textId="77777777" w:rsidR="005A4781" w:rsidRDefault="005A4781" w:rsidP="00FD21E6">
            <w:pPr>
              <w:shd w:val="clear" w:color="auto" w:fill="FFFFFF"/>
              <w:spacing w:after="150" w:line="254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313BF">
              <w:rPr>
                <w:rFonts w:ascii="Arial" w:hAnsi="Arial" w:cs="Arial"/>
                <w:color w:val="202124"/>
                <w:shd w:val="clear" w:color="auto" w:fill="FFFFFF"/>
              </w:rPr>
              <w:t>Tener 1 año de antigüedad y permanencia en el rubro para Persona Natural e EIRL, o 2 años de antigüedad y permanencia en el rubro para personas jurídicas.</w:t>
            </w:r>
          </w:p>
          <w:p w14:paraId="7FD99AD9" w14:textId="77777777" w:rsidR="005A4781" w:rsidRPr="004313BF" w:rsidRDefault="005A4781" w:rsidP="00FD21E6">
            <w:pPr>
              <w:shd w:val="clear" w:color="auto" w:fill="FFFFFF"/>
              <w:spacing w:after="150" w:line="254" w:lineRule="atLeast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Ser sujeto de evaluación crediticia</w:t>
            </w:r>
          </w:p>
          <w:p w14:paraId="5A167FBA" w14:textId="77777777" w:rsidR="005A4781" w:rsidRPr="004313BF" w:rsidRDefault="005A4781" w:rsidP="00FD21E6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1BFB8321" w14:textId="22513D26" w:rsidR="00104637" w:rsidRPr="004313BF" w:rsidRDefault="00FD21E6" w:rsidP="00A92C53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textWrapping" w:clear="all"/>
      </w:r>
    </w:p>
    <w:p w14:paraId="1AE25831" w14:textId="77777777" w:rsidR="00104637" w:rsidRPr="004313BF" w:rsidRDefault="00104637" w:rsidP="00A92C53">
      <w:pPr>
        <w:jc w:val="both"/>
        <w:rPr>
          <w:rFonts w:ascii="Arial" w:hAnsi="Arial" w:cs="Arial"/>
          <w:color w:val="202124"/>
          <w:shd w:val="clear" w:color="auto" w:fill="FFFFFF"/>
        </w:rPr>
      </w:pPr>
    </w:p>
    <w:sectPr w:rsidR="00104637" w:rsidRPr="004313BF" w:rsidSect="00647FE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902EA"/>
    <w:multiLevelType w:val="multilevel"/>
    <w:tmpl w:val="0A22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55CB6"/>
    <w:multiLevelType w:val="multilevel"/>
    <w:tmpl w:val="1136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53"/>
    <w:rsid w:val="000A2A9D"/>
    <w:rsid w:val="00104637"/>
    <w:rsid w:val="00225A29"/>
    <w:rsid w:val="004313BF"/>
    <w:rsid w:val="004C5C1B"/>
    <w:rsid w:val="005A4781"/>
    <w:rsid w:val="00647FED"/>
    <w:rsid w:val="00666DFE"/>
    <w:rsid w:val="006C26F0"/>
    <w:rsid w:val="00797184"/>
    <w:rsid w:val="007E29E4"/>
    <w:rsid w:val="00A92C53"/>
    <w:rsid w:val="00B20830"/>
    <w:rsid w:val="00B42015"/>
    <w:rsid w:val="00C23039"/>
    <w:rsid w:val="00C44393"/>
    <w:rsid w:val="00C454AF"/>
    <w:rsid w:val="00DD111C"/>
    <w:rsid w:val="00F72FBB"/>
    <w:rsid w:val="00FD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ECDA"/>
  <w15:docId w15:val="{B402BC72-5BC3-4DA9-A783-7B3B4B58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92C53"/>
    <w:rPr>
      <w:b/>
      <w:bCs/>
    </w:rPr>
  </w:style>
  <w:style w:type="table" w:styleId="Tablaconcuadrcula">
    <w:name w:val="Table Grid"/>
    <w:basedOn w:val="Tablanormal"/>
    <w:uiPriority w:val="59"/>
    <w:rsid w:val="0010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Claudio Alberto del Pino Felber</cp:lastModifiedBy>
  <cp:revision>7</cp:revision>
  <cp:lastPrinted>2021-04-24T01:20:00Z</cp:lastPrinted>
  <dcterms:created xsi:type="dcterms:W3CDTF">2021-04-23T21:52:00Z</dcterms:created>
  <dcterms:modified xsi:type="dcterms:W3CDTF">2021-04-24T17:41:00Z</dcterms:modified>
</cp:coreProperties>
</file>