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16A192">
      <w:pPr>
        <w:pStyle w:val="170"/>
        <w:pageBreakBefore/>
        <w:widowControl/>
      </w:pPr>
      <w:r>
        <w:t>2026年（第十二届）全国大学生统计建模大赛</w:t>
      </w:r>
      <w:r>
        <w:br w:type="textWrapping"/>
      </w:r>
      <w:r>
        <w:t>参赛作品</w:t>
      </w:r>
    </w:p>
    <w:p w14:paraId="7FAE402C">
      <w:pPr>
        <w:pStyle w:val="28"/>
        <w:widowControl/>
      </w:pPr>
      <w:r>
        <w:t>县域农业碳排放核算与减排路径模拟研究</w:t>
      </w:r>
      <w:r>
        <w:br w:type="textWrapping"/>
      </w:r>
      <w:r>
        <w:t>——以安徽省寿县为例</w:t>
      </w:r>
    </w:p>
    <w:p w14:paraId="30063582">
      <w:pPr>
        <w:pStyle w:val="19"/>
        <w:widowControl/>
        <w:rPr>
          <w:rFonts w:ascii="Times New Roman" w:hAnsi="Calibri" w:eastAsia="宋体" w:cs="Times New Roman"/>
          <w:sz w:val="24"/>
        </w:rPr>
      </w:pPr>
      <w:r>
        <w:rPr>
          <w:rFonts w:ascii="Times New Roman" w:hAnsi="Calibri" w:eastAsia="宋体" w:cs="Times New Roman"/>
          <w:sz w:val="24"/>
        </w:rPr>
        <w:t>。</w:t>
      </w:r>
    </w:p>
    <w:p w14:paraId="2139F0CB">
      <w:pPr>
        <w:rPr>
          <w:rFonts w:hint="eastAsia"/>
          <w:lang w:eastAsia="zh-CN"/>
        </w:rPr>
      </w:pPr>
      <w:r>
        <w:rPr>
          <w:rFonts w:hint="eastAsia"/>
          <w:lang w:eastAsia="zh-CN"/>
        </w:rPr>
        <w:br w:type="page"/>
      </w:r>
    </w:p>
    <w:p w14:paraId="6FE4741A">
      <w:pPr>
        <w:pStyle w:val="173"/>
        <w:keepNext/>
        <w:widowControl/>
        <w:outlineLvl w:val="9"/>
        <w:rPr>
          <w:rFonts w:hint="eastAsia" w:eastAsia="黑体"/>
          <w:lang w:eastAsia="zh-CN"/>
        </w:rPr>
      </w:pPr>
      <w:r>
        <w:rPr>
          <w:rFonts w:hint="eastAsia"/>
          <w:lang w:eastAsia="zh-CN"/>
        </w:rPr>
        <w:t>摘  要</w:t>
      </w:r>
    </w:p>
    <w:p w14:paraId="53DC901C">
      <w:pPr>
        <w:pStyle w:val="174"/>
        <w:widowControl/>
        <w:rPr>
          <w:rFonts w:ascii="Times New Roman" w:hAnsi="Calibri" w:eastAsia="宋体" w:cs="Times New Roman"/>
          <w:sz w:val="24"/>
        </w:rPr>
      </w:pPr>
      <w:r>
        <w:rPr>
          <w:rFonts w:ascii="Times New Roman" w:hAnsi="Calibri" w:eastAsia="宋体" w:cs="Times New Roman"/>
          <w:sz w:val="24"/>
        </w:rPr>
        <w:t>碳达峰、碳中和是“十五五”时期绿色低碳转型的重要约束性导向之一，农业领域则是统筹保障粮食安全与推进减污降碳协同的重要场景。寿县地处安徽省中部、淮河南岸，是全国粮食生产先进县和典型稻麦轮作区，2024年粮食总产量达到182.0万吨，稻谷播种面积255.7万亩，小麦播种面积172.0万亩，具有开展县域农业碳排放核算与减排路径研究的典型性。本文以寿县为研究对象，在梳理初稿研究框架的基础上，采用“核算—识别—模拟”一体化思路，对县域农业碳排放进行系统修订。具体而言：首先，依据IPCC 2006年国家温室气体清单指南及省级温室气体清单编制方法，对化肥投入、稻田甲烷、农业能源消耗与土壤碳库变化进行分项核算；其次，结合寿县稻麦轮作农田甲烷通量实测研究成果，对稻田甲烷排放因子进行本地化修正；再次，利用K-means聚类识别乡镇层面高排放热点区域，采用随机森林与SHAP解释方法识别农业碳排放关键驱动因素；最后，在LEAP情景分析框架下设计基准、优化施肥、节水灌溉、秸秆还田和综合减排情景，对2030年前减排潜力进行模拟。修订结果表明：初稿提出的“化肥施用—稻田甲烷—能源消耗—土壤碳汇”四部分核算框架具有较强合理性，氮肥施用量、水稻播种面积和有效灌溉面积作为关键驱动因素的识别逻辑与现有研究相一致；但原稿中个别文献存在题名、作者或年份错配，部分长期序列数据来源表述也不够严谨。为此，本稿在保留研究主线和主要表述的前提下，对政策依据、统计公报、核心论文和文献格式进行了系统核验与修正，并在附录中给出逐条说明。总体上，本文认为寿县农业碳减排宜沿“高排放乡镇优先、化肥减量增效先行、稻田水分管理协同、秸秆资源化利用跟进、土壤碳汇监测补充”的路径推进，以实现粮食稳产与农业绿色低碳转型的协同。</w:t>
      </w:r>
    </w:p>
    <w:p w14:paraId="63533181">
      <w:pPr>
        <w:pStyle w:val="19"/>
        <w:widowControl/>
        <w:ind w:left="0" w:leftChars="0" w:firstLine="0" w:firstLineChars="0"/>
        <w:rPr>
          <w:rStyle w:val="167"/>
          <w:rFonts w:hint="eastAsia" w:eastAsia="宋体"/>
          <w:lang w:eastAsia="zh-CN"/>
        </w:rPr>
      </w:pPr>
    </w:p>
    <w:p w14:paraId="6765A3D9">
      <w:pPr>
        <w:pStyle w:val="175"/>
        <w:widowControl/>
        <w:ind w:firstLine="231" w:firstLineChars="100"/>
        <w:jc w:val="both"/>
        <w:rPr>
          <w:rFonts w:ascii="Times New Roman" w:hAnsi="Times New Roman" w:eastAsia="宋体" w:cs="Times New Roman"/>
          <w:b w:val="0"/>
          <w:sz w:val="24"/>
          <w:szCs w:val="24"/>
        </w:rPr>
      </w:pPr>
      <w:r>
        <w:rPr>
          <w:rStyle w:val="167"/>
        </w:rPr>
        <w:t>关键词：</w:t>
      </w:r>
      <w:r>
        <w:rPr>
          <w:rFonts w:ascii="Times New Roman" w:hAnsi="Times New Roman" w:eastAsia="宋体" w:cs="Times New Roman"/>
          <w:b w:val="0"/>
          <w:sz w:val="24"/>
          <w:szCs w:val="24"/>
        </w:rPr>
        <w:t>农业碳排放；县域尺度；寿县；IPCC系数法；随机森林；SHAP；LEAP情景模拟；文献核验</w:t>
      </w:r>
    </w:p>
    <w:p w14:paraId="0A04D824">
      <w:pPr>
        <w:rPr>
          <w:rFonts w:hint="eastAsia" w:eastAsia="宋体"/>
          <w:lang w:eastAsia="zh-CN"/>
        </w:rPr>
      </w:pPr>
      <w:r>
        <w:rPr>
          <w:rFonts w:hint="eastAsia" w:eastAsia="宋体"/>
          <w:lang w:eastAsia="zh-CN"/>
        </w:rPr>
        <w:br w:type="page"/>
      </w:r>
    </w:p>
    <w:p w14:paraId="6CE891CA">
      <w:pPr>
        <w:pStyle w:val="176"/>
        <w:keepNext/>
        <w:pageBreakBefore/>
        <w:widowControl/>
        <w:outlineLvl w:val="9"/>
        <w:rPr>
          <w:rFonts w:hint="eastAsia" w:eastAsia="宋体"/>
          <w:lang w:eastAsia="zh-CN"/>
        </w:rPr>
      </w:pPr>
      <w:r>
        <w:rPr>
          <w:rFonts w:hint="eastAsia" w:eastAsia="宋体"/>
          <w:lang w:eastAsia="zh-CN"/>
        </w:rPr>
        <w:t>Abstract</w:t>
      </w:r>
    </w:p>
    <w:p w14:paraId="562006D5">
      <w:pPr>
        <w:pStyle w:val="177"/>
        <w:widowControl/>
        <w:rPr>
          <w:rFonts w:ascii="Times New Roman" w:hAnsi="Calibri" w:eastAsia="宋体" w:cs="Times New Roman"/>
          <w:sz w:val="24"/>
        </w:rPr>
      </w:pPr>
      <w:r>
        <w:rPr>
          <w:rFonts w:ascii="Times New Roman" w:hAnsi="Calibri" w:eastAsia="宋体" w:cs="Times New Roman"/>
          <w:sz w:val="24"/>
        </w:rPr>
        <w:t>County-level agricultural carbon accounting is of growing policy relevance under China's green transition and rural revitalization agenda in the Fifteenth Five-Year Plan period. Taking Shouxian County of Anhui Province as a typical grain-producing county and rice-wheat rotation area, this paper revises and formalizes the user-provided draft into a submission-ready academic manuscript. The revised study follows an integrated “accounting-identification-simulation” framework. First, agricultural carbon emissions are accounted for from fertilizer input, paddy methane, agricultural energy use and soil carbon stock change based on IPCC accounting logic and the provincial greenhouse-gas inventory approach. Second, localized methane flux evidence from the rice-wheat rotation system in Shouxian is used to refine the paddy methane parameter. Third, K-means clustering is employed to identify township-level hotspots, while random forest and SHAP methods are used to interpret major emission drivers. Finally, a LEAP-style scenario framework is adopted to compare baseline and low-carbon pathways including optimized fertilization, water-saving irrigation, straw incorporation and an integrated scenario. The revision confirms that the original analytical chain is generally reasonable, while several references and long-series data descriptions required correction or caution. A verification appendix is therefore added to distinguish fully verified references from items that should be rechecked against the original data sheets before official submission.</w:t>
      </w:r>
    </w:p>
    <w:p w14:paraId="6E6D10BC">
      <w:pPr>
        <w:pStyle w:val="19"/>
        <w:widowControl/>
        <w:ind w:left="0" w:leftChars="0" w:firstLine="0" w:firstLineChars="0"/>
        <w:rPr>
          <w:rStyle w:val="167"/>
          <w:rFonts w:hint="eastAsia" w:eastAsia="宋体"/>
          <w:lang w:eastAsia="zh-CN"/>
        </w:rPr>
      </w:pPr>
    </w:p>
    <w:p w14:paraId="27DE6F04">
      <w:pPr>
        <w:pStyle w:val="178"/>
        <w:widowControl/>
        <w:ind w:firstLine="482" w:firstLineChars="200"/>
        <w:rPr>
          <w:rFonts w:ascii="Times New Roman" w:hAnsi="Times New Roman" w:eastAsia="宋体" w:cs="Times New Roman"/>
          <w:b w:val="0"/>
          <w:sz w:val="24"/>
          <w:szCs w:val="24"/>
        </w:rPr>
      </w:pPr>
      <w:r>
        <w:rPr>
          <w:rStyle w:val="179"/>
        </w:rPr>
        <w:t>Keywords:</w:t>
      </w:r>
      <w:r>
        <w:rPr>
          <w:rFonts w:ascii="Times New Roman" w:hAnsi="Times New Roman" w:eastAsia="宋体" w:cs="Times New Roman"/>
          <w:b w:val="0"/>
          <w:sz w:val="24"/>
          <w:szCs w:val="24"/>
        </w:rPr>
        <w:t>agricultural carbon emissions; county scale; Shouxian County; IPCC coefficient method; random forest; SHAP; LEAP scenario analysis; source verification</w:t>
      </w:r>
    </w:p>
    <w:p w14:paraId="2B7ACC38">
      <w:r>
        <w:br w:type="page"/>
      </w:r>
    </w:p>
    <w:p w14:paraId="28140785">
      <w:pPr>
        <w:pStyle w:val="180"/>
        <w:widowControl/>
      </w:pPr>
      <w:r>
        <w:t>目</w:t>
      </w:r>
      <w:r>
        <w:rPr>
          <w:rFonts w:hint="eastAsia"/>
          <w:lang w:eastAsia="zh-CN"/>
        </w:rPr>
        <w:t xml:space="preserve">  </w:t>
      </w:r>
      <w:r>
        <w:t>录</w:t>
      </w:r>
    </w:p>
    <w:p w14:paraId="4F8007D4">
      <w:pPr>
        <w:pStyle w:val="27"/>
        <w:tabs>
          <w:tab w:val="right" w:leader="dot" w:pos="9292"/>
        </w:tabs>
      </w:pPr>
      <w:r>
        <w:fldChar w:fldCharType="begin"/>
      </w:r>
      <w:r>
        <w:instrText xml:space="preserve">TOC \o "1-3" \h \u </w:instrText>
      </w:r>
      <w:r>
        <w:fldChar w:fldCharType="separate"/>
      </w:r>
      <w:r>
        <w:fldChar w:fldCharType="begin"/>
      </w:r>
      <w:r>
        <w:instrText xml:space="preserve"> HYPERLINK \l _Toc15716 </w:instrText>
      </w:r>
      <w:r>
        <w:fldChar w:fldCharType="separate"/>
      </w:r>
      <w:r>
        <w:rPr>
          <w:rFonts w:hint="eastAsia"/>
          <w:lang w:eastAsia="zh-CN"/>
        </w:rPr>
        <w:t>一、</w:t>
      </w:r>
      <w:r>
        <w:t>绪论</w:t>
      </w:r>
      <w:r>
        <w:tab/>
      </w:r>
      <w:r>
        <w:fldChar w:fldCharType="begin"/>
      </w:r>
      <w:r>
        <w:instrText xml:space="preserve"> PAGEREF _Toc15716 \h </w:instrText>
      </w:r>
      <w:r>
        <w:fldChar w:fldCharType="separate"/>
      </w:r>
      <w:r>
        <w:t>5</w:t>
      </w:r>
      <w:r>
        <w:fldChar w:fldCharType="end"/>
      </w:r>
      <w:r>
        <w:fldChar w:fldCharType="end"/>
      </w:r>
    </w:p>
    <w:p w14:paraId="044FD75D">
      <w:pPr>
        <w:pStyle w:val="30"/>
        <w:tabs>
          <w:tab w:val="right" w:leader="dot" w:pos="9292"/>
        </w:tabs>
      </w:pPr>
      <w:r>
        <w:fldChar w:fldCharType="begin"/>
      </w:r>
      <w:r>
        <w:instrText xml:space="preserve"> HYPERLINK \l _Toc10904 </w:instrText>
      </w:r>
      <w:r>
        <w:fldChar w:fldCharType="separate"/>
      </w:r>
      <w:r>
        <w:rPr>
          <w:rFonts w:hint="eastAsia"/>
          <w:lang w:eastAsia="zh-CN"/>
        </w:rPr>
        <w:t>（一）</w:t>
      </w:r>
      <w:r>
        <w:t>研究背景</w:t>
      </w:r>
      <w:r>
        <w:tab/>
      </w:r>
      <w:r>
        <w:fldChar w:fldCharType="begin"/>
      </w:r>
      <w:r>
        <w:instrText xml:space="preserve"> PAGEREF _Toc10904 \h </w:instrText>
      </w:r>
      <w:r>
        <w:fldChar w:fldCharType="separate"/>
      </w:r>
      <w:r>
        <w:t>5</w:t>
      </w:r>
      <w:r>
        <w:fldChar w:fldCharType="end"/>
      </w:r>
      <w:r>
        <w:fldChar w:fldCharType="end"/>
      </w:r>
    </w:p>
    <w:p w14:paraId="332497DB">
      <w:pPr>
        <w:pStyle w:val="30"/>
        <w:tabs>
          <w:tab w:val="right" w:leader="dot" w:pos="9292"/>
        </w:tabs>
      </w:pPr>
      <w:r>
        <w:fldChar w:fldCharType="begin"/>
      </w:r>
      <w:r>
        <w:instrText xml:space="preserve"> HYPERLINK \l _Toc29778 </w:instrText>
      </w:r>
      <w:r>
        <w:fldChar w:fldCharType="separate"/>
      </w:r>
      <w:r>
        <w:rPr>
          <w:rFonts w:hint="eastAsia"/>
          <w:lang w:eastAsia="zh-CN"/>
        </w:rPr>
        <w:t>（二）</w:t>
      </w:r>
      <w:r>
        <w:t>文献综述与问题提出</w:t>
      </w:r>
      <w:r>
        <w:tab/>
      </w:r>
      <w:r>
        <w:fldChar w:fldCharType="begin"/>
      </w:r>
      <w:r>
        <w:instrText xml:space="preserve"> PAGEREF _Toc29778 \h </w:instrText>
      </w:r>
      <w:r>
        <w:fldChar w:fldCharType="separate"/>
      </w:r>
      <w:r>
        <w:t>5</w:t>
      </w:r>
      <w:r>
        <w:fldChar w:fldCharType="end"/>
      </w:r>
      <w:r>
        <w:fldChar w:fldCharType="end"/>
      </w:r>
    </w:p>
    <w:p w14:paraId="7BE3F1E4">
      <w:pPr>
        <w:pStyle w:val="30"/>
        <w:tabs>
          <w:tab w:val="right" w:leader="dot" w:pos="9292"/>
        </w:tabs>
      </w:pPr>
      <w:r>
        <w:fldChar w:fldCharType="begin"/>
      </w:r>
      <w:r>
        <w:instrText xml:space="preserve"> HYPERLINK \l _Toc22482 </w:instrText>
      </w:r>
      <w:r>
        <w:fldChar w:fldCharType="separate"/>
      </w:r>
      <w:r>
        <w:rPr>
          <w:rFonts w:hint="eastAsia"/>
          <w:lang w:eastAsia="zh-CN"/>
        </w:rPr>
        <w:t>（三）</w:t>
      </w:r>
      <w:r>
        <w:t>研究内容与技术路线</w:t>
      </w:r>
      <w:r>
        <w:tab/>
      </w:r>
      <w:r>
        <w:fldChar w:fldCharType="begin"/>
      </w:r>
      <w:r>
        <w:instrText xml:space="preserve"> PAGEREF _Toc22482 \h </w:instrText>
      </w:r>
      <w:r>
        <w:fldChar w:fldCharType="separate"/>
      </w:r>
      <w:r>
        <w:t>6</w:t>
      </w:r>
      <w:r>
        <w:fldChar w:fldCharType="end"/>
      </w:r>
      <w:r>
        <w:fldChar w:fldCharType="end"/>
      </w:r>
    </w:p>
    <w:p w14:paraId="62E57B8B">
      <w:pPr>
        <w:pStyle w:val="27"/>
        <w:tabs>
          <w:tab w:val="right" w:leader="dot" w:pos="9292"/>
        </w:tabs>
      </w:pPr>
      <w:r>
        <w:fldChar w:fldCharType="begin"/>
      </w:r>
      <w:r>
        <w:instrText xml:space="preserve"> HYPERLINK \l _Toc19763 </w:instrText>
      </w:r>
      <w:r>
        <w:fldChar w:fldCharType="separate"/>
      </w:r>
      <w:r>
        <w:rPr>
          <w:rFonts w:hint="eastAsia"/>
          <w:lang w:eastAsia="zh-CN"/>
        </w:rPr>
        <w:t>二、</w:t>
      </w:r>
      <w:r>
        <w:t>研究区域、数据来源与核验原则</w:t>
      </w:r>
      <w:r>
        <w:tab/>
      </w:r>
      <w:r>
        <w:fldChar w:fldCharType="begin"/>
      </w:r>
      <w:r>
        <w:instrText xml:space="preserve"> PAGEREF _Toc19763 \h </w:instrText>
      </w:r>
      <w:r>
        <w:fldChar w:fldCharType="separate"/>
      </w:r>
      <w:r>
        <w:t>6</w:t>
      </w:r>
      <w:r>
        <w:fldChar w:fldCharType="end"/>
      </w:r>
      <w:r>
        <w:fldChar w:fldCharType="end"/>
      </w:r>
    </w:p>
    <w:p w14:paraId="1CA17F7D">
      <w:pPr>
        <w:pStyle w:val="30"/>
        <w:tabs>
          <w:tab w:val="right" w:leader="dot" w:pos="9292"/>
        </w:tabs>
      </w:pPr>
      <w:r>
        <w:fldChar w:fldCharType="begin"/>
      </w:r>
      <w:r>
        <w:instrText xml:space="preserve"> HYPERLINK \l _Toc10143 </w:instrText>
      </w:r>
      <w:r>
        <w:fldChar w:fldCharType="separate"/>
      </w:r>
      <w:r>
        <w:rPr>
          <w:rFonts w:hint="eastAsia"/>
          <w:lang w:eastAsia="zh-CN"/>
        </w:rPr>
        <w:t>（一）</w:t>
      </w:r>
      <w:r>
        <w:t>研究区域概况</w:t>
      </w:r>
      <w:r>
        <w:tab/>
      </w:r>
      <w:r>
        <w:fldChar w:fldCharType="begin"/>
      </w:r>
      <w:r>
        <w:instrText xml:space="preserve"> PAGEREF _Toc10143 \h </w:instrText>
      </w:r>
      <w:r>
        <w:fldChar w:fldCharType="separate"/>
      </w:r>
      <w:r>
        <w:t>6</w:t>
      </w:r>
      <w:r>
        <w:fldChar w:fldCharType="end"/>
      </w:r>
      <w:r>
        <w:fldChar w:fldCharType="end"/>
      </w:r>
    </w:p>
    <w:p w14:paraId="59AF461E">
      <w:pPr>
        <w:pStyle w:val="30"/>
        <w:tabs>
          <w:tab w:val="right" w:leader="dot" w:pos="9292"/>
        </w:tabs>
      </w:pPr>
      <w:r>
        <w:fldChar w:fldCharType="begin"/>
      </w:r>
      <w:r>
        <w:instrText xml:space="preserve"> HYPERLINK \l _Toc23075 </w:instrText>
      </w:r>
      <w:r>
        <w:fldChar w:fldCharType="separate"/>
      </w:r>
      <w:r>
        <w:rPr>
          <w:rFonts w:hint="eastAsia"/>
          <w:lang w:eastAsia="zh-CN"/>
        </w:rPr>
        <w:t>（二）</w:t>
      </w:r>
      <w:r>
        <w:t>数据来源与核验状态</w:t>
      </w:r>
      <w:r>
        <w:tab/>
      </w:r>
      <w:r>
        <w:fldChar w:fldCharType="begin"/>
      </w:r>
      <w:r>
        <w:instrText xml:space="preserve"> PAGEREF _Toc23075 \h </w:instrText>
      </w:r>
      <w:r>
        <w:fldChar w:fldCharType="separate"/>
      </w:r>
      <w:r>
        <w:t>7</w:t>
      </w:r>
      <w:r>
        <w:fldChar w:fldCharType="end"/>
      </w:r>
      <w:r>
        <w:fldChar w:fldCharType="end"/>
      </w:r>
    </w:p>
    <w:p w14:paraId="1D11BDCC">
      <w:pPr>
        <w:pStyle w:val="30"/>
        <w:tabs>
          <w:tab w:val="right" w:leader="dot" w:pos="9292"/>
        </w:tabs>
      </w:pPr>
      <w:r>
        <w:fldChar w:fldCharType="begin"/>
      </w:r>
      <w:r>
        <w:instrText xml:space="preserve"> HYPERLINK \l _Toc26864 </w:instrText>
      </w:r>
      <w:r>
        <w:fldChar w:fldCharType="separate"/>
      </w:r>
      <w:r>
        <w:rPr>
          <w:rFonts w:hint="eastAsia"/>
          <w:lang w:eastAsia="zh-CN"/>
        </w:rPr>
        <w:t>（三）</w:t>
      </w:r>
      <w:r>
        <w:t>变量与符号说明</w:t>
      </w:r>
      <w:r>
        <w:tab/>
      </w:r>
      <w:r>
        <w:fldChar w:fldCharType="begin"/>
      </w:r>
      <w:r>
        <w:instrText xml:space="preserve"> PAGEREF _Toc26864 \h </w:instrText>
      </w:r>
      <w:r>
        <w:fldChar w:fldCharType="separate"/>
      </w:r>
      <w:r>
        <w:t>8</w:t>
      </w:r>
      <w:r>
        <w:fldChar w:fldCharType="end"/>
      </w:r>
      <w:r>
        <w:fldChar w:fldCharType="end"/>
      </w:r>
    </w:p>
    <w:p w14:paraId="629B5E2F">
      <w:pPr>
        <w:pStyle w:val="27"/>
        <w:tabs>
          <w:tab w:val="right" w:leader="dot" w:pos="9292"/>
        </w:tabs>
      </w:pPr>
      <w:r>
        <w:fldChar w:fldCharType="begin"/>
      </w:r>
      <w:r>
        <w:instrText xml:space="preserve"> HYPERLINK \l _Toc18026 </w:instrText>
      </w:r>
      <w:r>
        <w:fldChar w:fldCharType="separate"/>
      </w:r>
      <w:r>
        <w:rPr>
          <w:rFonts w:hint="eastAsia"/>
          <w:lang w:eastAsia="zh-CN"/>
        </w:rPr>
        <w:t>三、</w:t>
      </w:r>
      <w:r>
        <w:t>研究方法与模型构建</w:t>
      </w:r>
      <w:r>
        <w:tab/>
      </w:r>
      <w:r>
        <w:fldChar w:fldCharType="begin"/>
      </w:r>
      <w:r>
        <w:instrText xml:space="preserve"> PAGEREF _Toc18026 \h </w:instrText>
      </w:r>
      <w:r>
        <w:fldChar w:fldCharType="separate"/>
      </w:r>
      <w:r>
        <w:t>9</w:t>
      </w:r>
      <w:r>
        <w:fldChar w:fldCharType="end"/>
      </w:r>
      <w:r>
        <w:fldChar w:fldCharType="end"/>
      </w:r>
    </w:p>
    <w:p w14:paraId="1225B313">
      <w:pPr>
        <w:pStyle w:val="30"/>
        <w:tabs>
          <w:tab w:val="right" w:leader="dot" w:pos="9292"/>
        </w:tabs>
      </w:pPr>
      <w:r>
        <w:fldChar w:fldCharType="begin"/>
      </w:r>
      <w:r>
        <w:instrText xml:space="preserve"> HYPERLINK \l _Toc22924 </w:instrText>
      </w:r>
      <w:r>
        <w:fldChar w:fldCharType="separate"/>
      </w:r>
      <w:r>
        <w:rPr>
          <w:rFonts w:hint="eastAsia"/>
          <w:lang w:eastAsia="zh-CN"/>
        </w:rPr>
        <w:t>（一）</w:t>
      </w:r>
      <w:r>
        <w:t>农业碳排放核算模型</w:t>
      </w:r>
      <w:r>
        <w:tab/>
      </w:r>
      <w:r>
        <w:fldChar w:fldCharType="begin"/>
      </w:r>
      <w:r>
        <w:instrText xml:space="preserve"> PAGEREF _Toc22924 \h </w:instrText>
      </w:r>
      <w:r>
        <w:fldChar w:fldCharType="separate"/>
      </w:r>
      <w:r>
        <w:t>9</w:t>
      </w:r>
      <w:r>
        <w:fldChar w:fldCharType="end"/>
      </w:r>
      <w:r>
        <w:fldChar w:fldCharType="end"/>
      </w:r>
    </w:p>
    <w:p w14:paraId="329F9BBE">
      <w:pPr>
        <w:pStyle w:val="30"/>
        <w:tabs>
          <w:tab w:val="right" w:leader="dot" w:pos="9292"/>
        </w:tabs>
      </w:pPr>
      <w:r>
        <w:fldChar w:fldCharType="begin"/>
      </w:r>
      <w:r>
        <w:instrText xml:space="preserve"> HYPERLINK \l _Toc491 </w:instrText>
      </w:r>
      <w:r>
        <w:fldChar w:fldCharType="separate"/>
      </w:r>
      <w:r>
        <w:rPr>
          <w:rFonts w:hint="eastAsia"/>
          <w:lang w:eastAsia="zh-CN"/>
        </w:rPr>
        <w:t>（二）</w:t>
      </w:r>
      <w:r>
        <w:t>本地化参数修正</w:t>
      </w:r>
      <w:r>
        <w:tab/>
      </w:r>
      <w:r>
        <w:fldChar w:fldCharType="begin"/>
      </w:r>
      <w:r>
        <w:instrText xml:space="preserve"> PAGEREF _Toc491 \h </w:instrText>
      </w:r>
      <w:r>
        <w:fldChar w:fldCharType="separate"/>
      </w:r>
      <w:r>
        <w:t>10</w:t>
      </w:r>
      <w:r>
        <w:fldChar w:fldCharType="end"/>
      </w:r>
      <w:r>
        <w:fldChar w:fldCharType="end"/>
      </w:r>
    </w:p>
    <w:p w14:paraId="53180189">
      <w:pPr>
        <w:pStyle w:val="30"/>
        <w:tabs>
          <w:tab w:val="right" w:leader="dot" w:pos="9292"/>
        </w:tabs>
      </w:pPr>
      <w:r>
        <w:fldChar w:fldCharType="begin"/>
      </w:r>
      <w:r>
        <w:instrText xml:space="preserve"> HYPERLINK \l _Toc30255 </w:instrText>
      </w:r>
      <w:r>
        <w:fldChar w:fldCharType="separate"/>
      </w:r>
      <w:r>
        <w:rPr>
          <w:rFonts w:hint="eastAsia"/>
          <w:lang w:eastAsia="zh-CN"/>
        </w:rPr>
        <w:t>（三）</w:t>
      </w:r>
      <w:r>
        <w:t>K-means聚类识别热点区域</w:t>
      </w:r>
      <w:r>
        <w:tab/>
      </w:r>
      <w:r>
        <w:fldChar w:fldCharType="begin"/>
      </w:r>
      <w:r>
        <w:instrText xml:space="preserve"> PAGEREF _Toc30255 \h </w:instrText>
      </w:r>
      <w:r>
        <w:fldChar w:fldCharType="separate"/>
      </w:r>
      <w:r>
        <w:t>10</w:t>
      </w:r>
      <w:r>
        <w:fldChar w:fldCharType="end"/>
      </w:r>
      <w:r>
        <w:fldChar w:fldCharType="end"/>
      </w:r>
    </w:p>
    <w:p w14:paraId="09834D76">
      <w:pPr>
        <w:pStyle w:val="30"/>
        <w:tabs>
          <w:tab w:val="right" w:leader="dot" w:pos="9292"/>
        </w:tabs>
      </w:pPr>
      <w:r>
        <w:fldChar w:fldCharType="begin"/>
      </w:r>
      <w:r>
        <w:instrText xml:space="preserve"> HYPERLINK \l _Toc22831 </w:instrText>
      </w:r>
      <w:r>
        <w:fldChar w:fldCharType="separate"/>
      </w:r>
      <w:r>
        <w:rPr>
          <w:rFonts w:hint="eastAsia"/>
          <w:lang w:eastAsia="zh-CN"/>
        </w:rPr>
        <w:t>（四）</w:t>
      </w:r>
      <w:r>
        <w:t>随机森林与SHAP解释模型</w:t>
      </w:r>
      <w:r>
        <w:tab/>
      </w:r>
      <w:r>
        <w:fldChar w:fldCharType="begin"/>
      </w:r>
      <w:r>
        <w:instrText xml:space="preserve"> PAGEREF _Toc22831 \h </w:instrText>
      </w:r>
      <w:r>
        <w:fldChar w:fldCharType="separate"/>
      </w:r>
      <w:r>
        <w:t>10</w:t>
      </w:r>
      <w:r>
        <w:fldChar w:fldCharType="end"/>
      </w:r>
      <w:r>
        <w:fldChar w:fldCharType="end"/>
      </w:r>
    </w:p>
    <w:p w14:paraId="04389096">
      <w:pPr>
        <w:pStyle w:val="30"/>
        <w:tabs>
          <w:tab w:val="right" w:leader="dot" w:pos="9292"/>
        </w:tabs>
      </w:pPr>
      <w:r>
        <w:fldChar w:fldCharType="begin"/>
      </w:r>
      <w:r>
        <w:instrText xml:space="preserve"> HYPERLINK \l _Toc6394 </w:instrText>
      </w:r>
      <w:r>
        <w:fldChar w:fldCharType="separate"/>
      </w:r>
      <w:r>
        <w:rPr>
          <w:rFonts w:hint="eastAsia"/>
          <w:lang w:eastAsia="zh-CN"/>
        </w:rPr>
        <w:t>（五）</w:t>
      </w:r>
      <w:r>
        <w:t>LEAP情景模拟框架</w:t>
      </w:r>
      <w:r>
        <w:tab/>
      </w:r>
      <w:r>
        <w:fldChar w:fldCharType="begin"/>
      </w:r>
      <w:r>
        <w:instrText xml:space="preserve"> PAGEREF _Toc6394 \h </w:instrText>
      </w:r>
      <w:r>
        <w:fldChar w:fldCharType="separate"/>
      </w:r>
      <w:r>
        <w:t>11</w:t>
      </w:r>
      <w:r>
        <w:fldChar w:fldCharType="end"/>
      </w:r>
      <w:r>
        <w:fldChar w:fldCharType="end"/>
      </w:r>
    </w:p>
    <w:p w14:paraId="71955D8E">
      <w:pPr>
        <w:pStyle w:val="27"/>
        <w:tabs>
          <w:tab w:val="right" w:leader="dot" w:pos="9292"/>
        </w:tabs>
      </w:pPr>
      <w:r>
        <w:fldChar w:fldCharType="begin"/>
      </w:r>
      <w:r>
        <w:instrText xml:space="preserve"> HYPERLINK \l _Toc26280 </w:instrText>
      </w:r>
      <w:r>
        <w:fldChar w:fldCharType="separate"/>
      </w:r>
      <w:r>
        <w:rPr>
          <w:rFonts w:hint="eastAsia"/>
          <w:lang w:eastAsia="zh-CN"/>
        </w:rPr>
        <w:t>四、</w:t>
      </w:r>
      <w:r>
        <w:t>农业碳排放核算结果与空间格局分析</w:t>
      </w:r>
      <w:r>
        <w:tab/>
      </w:r>
      <w:r>
        <w:fldChar w:fldCharType="begin"/>
      </w:r>
      <w:r>
        <w:instrText xml:space="preserve"> PAGEREF _Toc26280 \h </w:instrText>
      </w:r>
      <w:r>
        <w:fldChar w:fldCharType="separate"/>
      </w:r>
      <w:r>
        <w:t>11</w:t>
      </w:r>
      <w:r>
        <w:fldChar w:fldCharType="end"/>
      </w:r>
      <w:r>
        <w:fldChar w:fldCharType="end"/>
      </w:r>
    </w:p>
    <w:p w14:paraId="127E2892">
      <w:pPr>
        <w:pStyle w:val="30"/>
        <w:tabs>
          <w:tab w:val="right" w:leader="dot" w:pos="9292"/>
        </w:tabs>
      </w:pPr>
      <w:r>
        <w:fldChar w:fldCharType="begin"/>
      </w:r>
      <w:r>
        <w:instrText xml:space="preserve"> HYPERLINK \l _Toc16417 </w:instrText>
      </w:r>
      <w:r>
        <w:fldChar w:fldCharType="separate"/>
      </w:r>
      <w:r>
        <w:rPr>
          <w:rFonts w:hint="eastAsia"/>
          <w:lang w:eastAsia="zh-CN"/>
        </w:rPr>
        <w:t>（一）</w:t>
      </w:r>
      <w:r>
        <w:t>总量核算结果的正式表述</w:t>
      </w:r>
      <w:r>
        <w:tab/>
      </w:r>
      <w:r>
        <w:fldChar w:fldCharType="begin"/>
      </w:r>
      <w:r>
        <w:instrText xml:space="preserve"> PAGEREF _Toc16417 \h </w:instrText>
      </w:r>
      <w:r>
        <w:fldChar w:fldCharType="separate"/>
      </w:r>
      <w:r>
        <w:t>11</w:t>
      </w:r>
      <w:r>
        <w:fldChar w:fldCharType="end"/>
      </w:r>
      <w:r>
        <w:fldChar w:fldCharType="end"/>
      </w:r>
    </w:p>
    <w:p w14:paraId="270CB73F">
      <w:pPr>
        <w:pStyle w:val="30"/>
        <w:tabs>
          <w:tab w:val="right" w:leader="dot" w:pos="9292"/>
        </w:tabs>
      </w:pPr>
      <w:r>
        <w:fldChar w:fldCharType="begin"/>
      </w:r>
      <w:r>
        <w:instrText xml:space="preserve"> HYPERLINK \l _Toc28443 </w:instrText>
      </w:r>
      <w:r>
        <w:fldChar w:fldCharType="separate"/>
      </w:r>
      <w:r>
        <w:rPr>
          <w:rFonts w:hint="eastAsia"/>
          <w:lang w:eastAsia="zh-CN"/>
        </w:rPr>
        <w:t>（二）</w:t>
      </w:r>
      <w:r>
        <w:t>空间格局分析</w:t>
      </w:r>
      <w:r>
        <w:tab/>
      </w:r>
      <w:r>
        <w:fldChar w:fldCharType="begin"/>
      </w:r>
      <w:r>
        <w:instrText xml:space="preserve"> PAGEREF _Toc28443 \h </w:instrText>
      </w:r>
      <w:r>
        <w:fldChar w:fldCharType="separate"/>
      </w:r>
      <w:r>
        <w:t>12</w:t>
      </w:r>
      <w:r>
        <w:fldChar w:fldCharType="end"/>
      </w:r>
      <w:r>
        <w:fldChar w:fldCharType="end"/>
      </w:r>
    </w:p>
    <w:p w14:paraId="7DC14684">
      <w:pPr>
        <w:pStyle w:val="27"/>
        <w:tabs>
          <w:tab w:val="right" w:leader="dot" w:pos="9292"/>
        </w:tabs>
      </w:pPr>
      <w:r>
        <w:fldChar w:fldCharType="begin"/>
      </w:r>
      <w:r>
        <w:instrText xml:space="preserve"> HYPERLINK \l _Toc26416 </w:instrText>
      </w:r>
      <w:r>
        <w:fldChar w:fldCharType="separate"/>
      </w:r>
      <w:r>
        <w:rPr>
          <w:rFonts w:hint="eastAsia"/>
          <w:lang w:eastAsia="zh-CN"/>
        </w:rPr>
        <w:t>五、</w:t>
      </w:r>
      <w:r>
        <w:t>驱动因素识别与减排情景模拟</w:t>
      </w:r>
      <w:r>
        <w:tab/>
      </w:r>
      <w:r>
        <w:fldChar w:fldCharType="begin"/>
      </w:r>
      <w:r>
        <w:instrText xml:space="preserve"> PAGEREF _Toc26416 \h </w:instrText>
      </w:r>
      <w:r>
        <w:fldChar w:fldCharType="separate"/>
      </w:r>
      <w:r>
        <w:t>13</w:t>
      </w:r>
      <w:r>
        <w:fldChar w:fldCharType="end"/>
      </w:r>
      <w:r>
        <w:fldChar w:fldCharType="end"/>
      </w:r>
    </w:p>
    <w:p w14:paraId="2C1E9B67">
      <w:pPr>
        <w:pStyle w:val="30"/>
        <w:tabs>
          <w:tab w:val="right" w:leader="dot" w:pos="9292"/>
        </w:tabs>
      </w:pPr>
      <w:r>
        <w:fldChar w:fldCharType="begin"/>
      </w:r>
      <w:r>
        <w:instrText xml:space="preserve"> HYPERLINK \l _Toc2646 </w:instrText>
      </w:r>
      <w:r>
        <w:fldChar w:fldCharType="separate"/>
      </w:r>
      <w:r>
        <w:rPr>
          <w:rFonts w:hint="eastAsia"/>
          <w:lang w:eastAsia="zh-CN"/>
        </w:rPr>
        <w:t>（一）</w:t>
      </w:r>
      <w:r>
        <w:t>关键驱动因素识别</w:t>
      </w:r>
      <w:r>
        <w:tab/>
      </w:r>
      <w:r>
        <w:fldChar w:fldCharType="begin"/>
      </w:r>
      <w:r>
        <w:instrText xml:space="preserve"> PAGEREF _Toc2646 \h </w:instrText>
      </w:r>
      <w:r>
        <w:fldChar w:fldCharType="separate"/>
      </w:r>
      <w:r>
        <w:t>13</w:t>
      </w:r>
      <w:r>
        <w:fldChar w:fldCharType="end"/>
      </w:r>
      <w:r>
        <w:fldChar w:fldCharType="end"/>
      </w:r>
    </w:p>
    <w:p w14:paraId="49A14286">
      <w:pPr>
        <w:pStyle w:val="30"/>
        <w:tabs>
          <w:tab w:val="right" w:leader="dot" w:pos="9292"/>
        </w:tabs>
      </w:pPr>
      <w:r>
        <w:fldChar w:fldCharType="begin"/>
      </w:r>
      <w:r>
        <w:instrText xml:space="preserve"> HYPERLINK \l _Toc28519 </w:instrText>
      </w:r>
      <w:r>
        <w:fldChar w:fldCharType="separate"/>
      </w:r>
      <w:r>
        <w:rPr>
          <w:rFonts w:hint="eastAsia"/>
          <w:lang w:eastAsia="zh-CN"/>
        </w:rPr>
        <w:t>（二）</w:t>
      </w:r>
      <w:r>
        <w:t>减排情景模拟</w:t>
      </w:r>
      <w:r>
        <w:tab/>
      </w:r>
      <w:r>
        <w:fldChar w:fldCharType="begin"/>
      </w:r>
      <w:r>
        <w:instrText xml:space="preserve"> PAGEREF _Toc28519 \h </w:instrText>
      </w:r>
      <w:r>
        <w:fldChar w:fldCharType="separate"/>
      </w:r>
      <w:r>
        <w:t>14</w:t>
      </w:r>
      <w:r>
        <w:fldChar w:fldCharType="end"/>
      </w:r>
      <w:r>
        <w:fldChar w:fldCharType="end"/>
      </w:r>
    </w:p>
    <w:p w14:paraId="7A8BBA5C">
      <w:pPr>
        <w:pStyle w:val="27"/>
        <w:tabs>
          <w:tab w:val="right" w:leader="dot" w:pos="9292"/>
        </w:tabs>
      </w:pPr>
      <w:r>
        <w:fldChar w:fldCharType="begin"/>
      </w:r>
      <w:r>
        <w:instrText xml:space="preserve"> HYPERLINK \l _Toc17052 </w:instrText>
      </w:r>
      <w:r>
        <w:fldChar w:fldCharType="separate"/>
      </w:r>
      <w:r>
        <w:rPr>
          <w:rFonts w:hint="eastAsia"/>
          <w:lang w:eastAsia="zh-CN"/>
        </w:rPr>
        <w:t>六、</w:t>
      </w:r>
      <w:r>
        <w:t>研究结论、政策建议与局限性</w:t>
      </w:r>
      <w:r>
        <w:tab/>
      </w:r>
      <w:r>
        <w:fldChar w:fldCharType="begin"/>
      </w:r>
      <w:r>
        <w:instrText xml:space="preserve"> PAGEREF _Toc17052 \h </w:instrText>
      </w:r>
      <w:r>
        <w:fldChar w:fldCharType="separate"/>
      </w:r>
      <w:r>
        <w:t>14</w:t>
      </w:r>
      <w:r>
        <w:fldChar w:fldCharType="end"/>
      </w:r>
      <w:r>
        <w:fldChar w:fldCharType="end"/>
      </w:r>
    </w:p>
    <w:p w14:paraId="1B0B0589">
      <w:pPr>
        <w:pStyle w:val="30"/>
        <w:tabs>
          <w:tab w:val="right" w:leader="dot" w:pos="9292"/>
        </w:tabs>
      </w:pPr>
      <w:r>
        <w:fldChar w:fldCharType="begin"/>
      </w:r>
      <w:r>
        <w:instrText xml:space="preserve"> HYPERLINK \l _Toc14326 </w:instrText>
      </w:r>
      <w:r>
        <w:fldChar w:fldCharType="separate"/>
      </w:r>
      <w:r>
        <w:rPr>
          <w:rFonts w:hint="eastAsia"/>
          <w:lang w:eastAsia="zh-CN"/>
        </w:rPr>
        <w:t>（一）</w:t>
      </w:r>
      <w:r>
        <w:t>主要结论</w:t>
      </w:r>
      <w:r>
        <w:tab/>
      </w:r>
      <w:r>
        <w:fldChar w:fldCharType="begin"/>
      </w:r>
      <w:r>
        <w:instrText xml:space="preserve"> PAGEREF _Toc14326 \h </w:instrText>
      </w:r>
      <w:r>
        <w:fldChar w:fldCharType="separate"/>
      </w:r>
      <w:r>
        <w:t>14</w:t>
      </w:r>
      <w:r>
        <w:fldChar w:fldCharType="end"/>
      </w:r>
      <w:r>
        <w:fldChar w:fldCharType="end"/>
      </w:r>
    </w:p>
    <w:p w14:paraId="03771B9B">
      <w:pPr>
        <w:pStyle w:val="30"/>
        <w:tabs>
          <w:tab w:val="right" w:leader="dot" w:pos="9292"/>
        </w:tabs>
      </w:pPr>
      <w:r>
        <w:fldChar w:fldCharType="begin"/>
      </w:r>
      <w:r>
        <w:instrText xml:space="preserve"> HYPERLINK \l _Toc26733 </w:instrText>
      </w:r>
      <w:r>
        <w:fldChar w:fldCharType="separate"/>
      </w:r>
      <w:r>
        <w:rPr>
          <w:rFonts w:hint="eastAsia"/>
          <w:lang w:eastAsia="zh-CN"/>
        </w:rPr>
        <w:t>（二）</w:t>
      </w:r>
      <w:r>
        <w:t>政策建议</w:t>
      </w:r>
      <w:r>
        <w:tab/>
      </w:r>
      <w:r>
        <w:fldChar w:fldCharType="begin"/>
      </w:r>
      <w:r>
        <w:instrText xml:space="preserve"> PAGEREF _Toc26733 \h </w:instrText>
      </w:r>
      <w:r>
        <w:fldChar w:fldCharType="separate"/>
      </w:r>
      <w:r>
        <w:t>15</w:t>
      </w:r>
      <w:r>
        <w:fldChar w:fldCharType="end"/>
      </w:r>
      <w:r>
        <w:fldChar w:fldCharType="end"/>
      </w:r>
    </w:p>
    <w:p w14:paraId="7B3530D9">
      <w:pPr>
        <w:pStyle w:val="30"/>
        <w:tabs>
          <w:tab w:val="right" w:leader="dot" w:pos="9292"/>
        </w:tabs>
      </w:pPr>
      <w:r>
        <w:fldChar w:fldCharType="begin"/>
      </w:r>
      <w:r>
        <w:instrText xml:space="preserve"> HYPERLINK \l _Toc19748 </w:instrText>
      </w:r>
      <w:r>
        <w:fldChar w:fldCharType="separate"/>
      </w:r>
      <w:r>
        <w:rPr>
          <w:rFonts w:hint="eastAsia"/>
          <w:lang w:eastAsia="zh-CN"/>
        </w:rPr>
        <w:t>（三）</w:t>
      </w:r>
      <w:r>
        <w:t>研究局限性</w:t>
      </w:r>
      <w:r>
        <w:tab/>
      </w:r>
      <w:r>
        <w:fldChar w:fldCharType="begin"/>
      </w:r>
      <w:r>
        <w:instrText xml:space="preserve"> PAGEREF _Toc19748 \h </w:instrText>
      </w:r>
      <w:r>
        <w:fldChar w:fldCharType="separate"/>
      </w:r>
      <w:r>
        <w:t>15</w:t>
      </w:r>
      <w:r>
        <w:fldChar w:fldCharType="end"/>
      </w:r>
      <w:r>
        <w:fldChar w:fldCharType="end"/>
      </w:r>
    </w:p>
    <w:p w14:paraId="34217348">
      <w:pPr>
        <w:pStyle w:val="27"/>
        <w:tabs>
          <w:tab w:val="right" w:leader="dot" w:pos="9292"/>
        </w:tabs>
      </w:pPr>
      <w:r>
        <w:fldChar w:fldCharType="begin"/>
      </w:r>
      <w:r>
        <w:instrText xml:space="preserve"> HYPERLINK \l _Toc1431 </w:instrText>
      </w:r>
      <w:r>
        <w:fldChar w:fldCharType="separate"/>
      </w:r>
      <w:r>
        <w:t>参考文献</w:t>
      </w:r>
      <w:r>
        <w:tab/>
      </w:r>
      <w:r>
        <w:fldChar w:fldCharType="begin"/>
      </w:r>
      <w:r>
        <w:instrText xml:space="preserve"> PAGEREF _Toc1431 \h </w:instrText>
      </w:r>
      <w:r>
        <w:fldChar w:fldCharType="separate"/>
      </w:r>
      <w:r>
        <w:t>16</w:t>
      </w:r>
      <w:r>
        <w:fldChar w:fldCharType="end"/>
      </w:r>
      <w:r>
        <w:fldChar w:fldCharType="end"/>
      </w:r>
    </w:p>
    <w:p w14:paraId="618370AC">
      <w:pPr>
        <w:pStyle w:val="27"/>
        <w:tabs>
          <w:tab w:val="right" w:leader="dot" w:pos="9292"/>
        </w:tabs>
      </w:pPr>
      <w:r>
        <w:fldChar w:fldCharType="begin"/>
      </w:r>
      <w:r>
        <w:instrText xml:space="preserve"> HYPERLINK \l _Toc3495 </w:instrText>
      </w:r>
      <w:r>
        <w:fldChar w:fldCharType="separate"/>
      </w:r>
      <w:r>
        <w:rPr>
          <w:rFonts w:ascii="Times New Roman" w:hAnsi="Times New Roman" w:eastAsia="黑体" w:cs="Times New Roman"/>
          <w:kern w:val="44"/>
          <w:szCs w:val="44"/>
          <w:lang w:bidi="ar-SA"/>
        </w:rPr>
        <w:t>附录A 文献与数据核验说明</w:t>
      </w:r>
      <w:r>
        <w:tab/>
      </w:r>
      <w:r>
        <w:fldChar w:fldCharType="begin"/>
      </w:r>
      <w:r>
        <w:instrText xml:space="preserve"> PAGEREF _Toc3495 \h </w:instrText>
      </w:r>
      <w:r>
        <w:fldChar w:fldCharType="separate"/>
      </w:r>
      <w:r>
        <w:t>18</w:t>
      </w:r>
      <w:r>
        <w:fldChar w:fldCharType="end"/>
      </w:r>
      <w:r>
        <w:fldChar w:fldCharType="end"/>
      </w:r>
    </w:p>
    <w:p w14:paraId="030FC88A">
      <w:pPr>
        <w:pStyle w:val="27"/>
        <w:tabs>
          <w:tab w:val="right" w:leader="dot" w:pos="9292"/>
        </w:tabs>
      </w:pPr>
      <w:r>
        <w:fldChar w:fldCharType="begin"/>
      </w:r>
      <w:r>
        <w:instrText xml:space="preserve"> HYPERLINK \l _Toc29100 </w:instrText>
      </w:r>
      <w:r>
        <w:fldChar w:fldCharType="separate"/>
      </w:r>
      <w:r>
        <w:rPr>
          <w:rFonts w:ascii="Times New Roman" w:hAnsi="Times New Roman" w:eastAsia="黑体" w:cs="Times New Roman"/>
          <w:kern w:val="44"/>
          <w:szCs w:val="44"/>
          <w:lang w:bidi="ar-SA"/>
        </w:rPr>
        <w:t>附录B 初稿测算结果使用说明</w:t>
      </w:r>
      <w:r>
        <w:tab/>
      </w:r>
      <w:r>
        <w:fldChar w:fldCharType="begin"/>
      </w:r>
      <w:r>
        <w:instrText xml:space="preserve"> PAGEREF _Toc29100 \h </w:instrText>
      </w:r>
      <w:r>
        <w:fldChar w:fldCharType="separate"/>
      </w:r>
      <w:r>
        <w:t>19</w:t>
      </w:r>
      <w:r>
        <w:fldChar w:fldCharType="end"/>
      </w:r>
      <w:r>
        <w:fldChar w:fldCharType="end"/>
      </w:r>
    </w:p>
    <w:p w14:paraId="477F9E7F">
      <w:pPr>
        <w:pStyle w:val="27"/>
        <w:tabs>
          <w:tab w:val="right" w:leader="dot" w:pos="9292"/>
        </w:tabs>
      </w:pPr>
      <w:r>
        <w:fldChar w:fldCharType="begin"/>
      </w:r>
      <w:r>
        <w:instrText xml:space="preserve"> HYPERLINK \l _Toc24498 </w:instrText>
      </w:r>
      <w:r>
        <w:fldChar w:fldCharType="separate"/>
      </w:r>
      <w:r>
        <w:t>致</w:t>
      </w:r>
      <w:r>
        <w:rPr>
          <w:rFonts w:hint="eastAsia"/>
          <w:lang w:eastAsia="zh-CN"/>
        </w:rPr>
        <w:t xml:space="preserve">  </w:t>
      </w:r>
      <w:r>
        <w:t>谢</w:t>
      </w:r>
      <w:r>
        <w:tab/>
      </w:r>
      <w:r>
        <w:fldChar w:fldCharType="begin"/>
      </w:r>
      <w:r>
        <w:instrText xml:space="preserve"> PAGEREF _Toc24498 \h </w:instrText>
      </w:r>
      <w:r>
        <w:fldChar w:fldCharType="separate"/>
      </w:r>
      <w:r>
        <w:t>20</w:t>
      </w:r>
      <w:r>
        <w:fldChar w:fldCharType="end"/>
      </w:r>
      <w:r>
        <w:fldChar w:fldCharType="end"/>
      </w:r>
    </w:p>
    <w:p w14:paraId="68DCA30A">
      <w:r>
        <w:fldChar w:fldCharType="end"/>
      </w:r>
    </w:p>
    <w:p w14:paraId="519DC40A"/>
    <w:p w14:paraId="28B8A645">
      <w:pPr>
        <w:rPr>
          <w:rFonts w:hint="eastAsia"/>
          <w:lang w:eastAsia="zh-CN"/>
        </w:rPr>
      </w:pPr>
      <w:bookmarkStart w:id="0" w:name="_Toc3951"/>
      <w:r>
        <w:rPr>
          <w:rFonts w:hint="eastAsia"/>
          <w:lang w:eastAsia="zh-CN"/>
        </w:rPr>
        <w:br w:type="page"/>
      </w:r>
    </w:p>
    <w:p w14:paraId="5C647FE5">
      <w:pPr>
        <w:pStyle w:val="3"/>
        <w:keepNext/>
        <w:widowControl/>
        <w:numPr>
          <w:ilvl w:val="0"/>
          <w:numId w:val="0"/>
        </w:numPr>
        <w:topLinePunct w:val="0"/>
        <w:ind w:leftChars="0"/>
        <w:rPr>
          <w:rFonts w:hint="eastAsia" w:ascii="黑体" w:hAnsi="黑体" w:eastAsia="黑体" w:cs="黑体"/>
          <w:b w:val="0"/>
        </w:rPr>
      </w:pPr>
      <w:bookmarkStart w:id="1" w:name="_Toc15716"/>
      <w:r>
        <w:rPr>
          <w:rFonts w:hint="eastAsia"/>
          <w:lang w:eastAsia="zh-CN"/>
        </w:rPr>
        <w:t>一、</w:t>
      </w:r>
      <w:r>
        <w:t>绪论</w:t>
      </w:r>
      <w:bookmarkEnd w:id="0"/>
      <w:bookmarkEnd w:id="1"/>
    </w:p>
    <w:p w14:paraId="64F0DB8F">
      <w:pPr>
        <w:pStyle w:val="4"/>
        <w:keepNext/>
        <w:widowControl/>
        <w:numPr>
          <w:ilvl w:val="0"/>
          <w:numId w:val="0"/>
        </w:numPr>
        <w:topLinePunct w:val="0"/>
        <w:ind w:leftChars="0"/>
        <w:rPr>
          <w:rFonts w:hint="eastAsia" w:ascii="楷体" w:hAnsi="楷体" w:eastAsia="楷体" w:cs="楷体"/>
          <w:b w:val="0"/>
        </w:rPr>
      </w:pPr>
      <w:bookmarkStart w:id="2" w:name="_Toc10904"/>
      <w:bookmarkStart w:id="3" w:name="_Toc9015"/>
      <w:r>
        <w:rPr>
          <w:rFonts w:hint="eastAsia"/>
          <w:lang w:eastAsia="zh-CN"/>
        </w:rPr>
        <w:t>（一）</w:t>
      </w:r>
      <w:r>
        <w:t>研究背景</w:t>
      </w:r>
      <w:bookmarkEnd w:id="2"/>
      <w:bookmarkEnd w:id="3"/>
    </w:p>
    <w:p w14:paraId="408CB184">
      <w:pPr>
        <w:pStyle w:val="19"/>
        <w:widowControl/>
        <w:rPr>
          <w:rFonts w:ascii="Times New Roman" w:hAnsi="Calibri" w:eastAsia="宋体" w:cs="Times New Roman"/>
          <w:sz w:val="24"/>
        </w:rPr>
      </w:pPr>
      <w:r>
        <w:rPr>
          <w:rFonts w:ascii="Times New Roman" w:hAnsi="Calibri" w:eastAsia="宋体" w:cs="Times New Roman"/>
          <w:sz w:val="24"/>
        </w:rPr>
        <w:t>“十五五”规划纲要将绿色低碳指标纳入主要约束性指标，并明确提出加强非二氧化碳温室气体监测管控、提升生态系统碳汇增量、推动重点领域节能降碳与农业农村现代化协同推进。与此同时，2026年中央一号文件强调“十五五”时期是农业农村现代化夯实基础、全面发力的关键时期，要坚持产量产能、生产生态、增产增收一起抓，推进农业面源污染治理和绿色农业发展。对粮食主产县而言，农业碳排放研究的现实难题并不是“有没有意义”，而是如何在保证粮食稳产的前提下，把县域层面的农业投入、作物结构、水资源利用和土壤碳汇变化量化为可核验、可比较、可模拟的统计结果。</w:t>
      </w:r>
    </w:p>
    <w:p w14:paraId="0C2133AF">
      <w:pPr>
        <w:pStyle w:val="19"/>
        <w:widowControl/>
        <w:rPr>
          <w:rFonts w:ascii="Times New Roman" w:hAnsi="Calibri" w:eastAsia="宋体" w:cs="Times New Roman"/>
          <w:sz w:val="24"/>
        </w:rPr>
      </w:pPr>
      <w:r>
        <w:rPr>
          <w:rFonts w:ascii="Times New Roman" w:hAnsi="Calibri" w:eastAsia="宋体" w:cs="Times New Roman"/>
          <w:sz w:val="24"/>
        </w:rPr>
        <w:t>寿县是安徽省典型粮食大县。根据寿县人民政府发布的《寿县2024年国民经济和社会发展统计公报》，2024年全县粮食总产量182.0万吨，其中稻谷115.1万吨、小麦61.6万吨；全年农作物总播种面积490.7万亩，其中稻谷255.7万亩、小麦172.0万亩。这一生产规模意味着寿县在化肥施用、农机作业、灌排管理和秸秆处置等方面均具有较强代表性。若能将农业碳排放核算与减排情景分析结合起来，不仅有助于县域绿色农业治理，也可为江淮稻麦轮作区提供方法借鉴。</w:t>
      </w:r>
    </w:p>
    <w:p w14:paraId="74D532ED">
      <w:pPr>
        <w:pStyle w:val="4"/>
        <w:keepNext/>
        <w:widowControl/>
        <w:numPr>
          <w:ilvl w:val="0"/>
          <w:numId w:val="0"/>
        </w:numPr>
        <w:topLinePunct w:val="0"/>
        <w:ind w:leftChars="0"/>
        <w:rPr>
          <w:rFonts w:hint="eastAsia" w:ascii="楷体" w:hAnsi="楷体" w:eastAsia="楷体" w:cs="楷体"/>
          <w:b w:val="0"/>
        </w:rPr>
      </w:pPr>
      <w:bookmarkStart w:id="4" w:name="_Toc17253"/>
      <w:bookmarkStart w:id="5" w:name="_Toc29778"/>
      <w:r>
        <w:rPr>
          <w:rFonts w:hint="eastAsia"/>
          <w:lang w:eastAsia="zh-CN"/>
        </w:rPr>
        <w:t>（二）</w:t>
      </w:r>
      <w:r>
        <w:t>文献综述与问题提出</w:t>
      </w:r>
      <w:bookmarkEnd w:id="4"/>
      <w:bookmarkEnd w:id="5"/>
    </w:p>
    <w:p w14:paraId="24F18CF3">
      <w:pPr>
        <w:pStyle w:val="19"/>
        <w:widowControl/>
        <w:rPr>
          <w:rFonts w:ascii="Times New Roman" w:hAnsi="Calibri" w:eastAsia="宋体" w:cs="Times New Roman"/>
          <w:sz w:val="24"/>
        </w:rPr>
      </w:pPr>
      <w:r>
        <w:rPr>
          <w:rFonts w:ascii="Times New Roman" w:hAnsi="Calibri" w:eastAsia="宋体" w:cs="Times New Roman"/>
          <w:sz w:val="24"/>
        </w:rPr>
        <w:t>现有农业碳排放研究大体可以分为三类。第一类是温室气体清单核算研究，以IPCC系数法或省级温室气体清单方法为基础，对种植业、畜牧业或农业源温室气体进行分项核算。这类研究方法透明、可操作性强，但其精度高度依赖活动水平数据和排放因子本地化程度。第二类是驱动因素识别研究，通常采用STIRPAT、面板模型、LMDI分解或机器学习方法识别关键影响因素。近年来，随机森林与SHAP解释方法在碳排放研究中的应用增多，能够在保持预测性能的同时增强政策解释力。第三类是减排情景模拟研究，多使用LEAP、系统动力学或情景假设方法，比较不同技术路径和政策工具下的减排潜力。</w:t>
      </w:r>
    </w:p>
    <w:p w14:paraId="0EB07861">
      <w:pPr>
        <w:pStyle w:val="19"/>
        <w:widowControl/>
        <w:rPr>
          <w:rFonts w:ascii="Times New Roman" w:hAnsi="Calibri" w:eastAsia="宋体" w:cs="Times New Roman"/>
          <w:sz w:val="24"/>
        </w:rPr>
      </w:pPr>
      <w:r>
        <w:rPr>
          <w:rFonts w:ascii="Times New Roman" w:hAnsi="Calibri" w:eastAsia="宋体" w:cs="Times New Roman"/>
          <w:sz w:val="24"/>
        </w:rPr>
        <w:t>在县级尺度上，研究往往面临两个突出问题：一是长期连续的县域农业活动数据难以完整公开获取；二是部分文献引用与数据来源说明不够严格，容易在竞赛或学术审查中留下瑕疵。用户提供的初稿在研究思路上已经具备较完整的“核算—识别—模拟”技术链，但在正式交付层面仍需处理三方面问题：其一，政策依据应更新为已正式发布的“十五五”纲要和最新中央一号文件；其二，参考文献需逐条验真，纠正作者、题名、年份和期刊错配；其三，凡不能在本次修订中独立复算的长序列测算表，必须明确标识其来源边界和使用前提。</w:t>
      </w:r>
    </w:p>
    <w:p w14:paraId="4E871DD0">
      <w:pPr>
        <w:pStyle w:val="19"/>
        <w:widowControl/>
        <w:rPr>
          <w:rFonts w:ascii="Times New Roman" w:hAnsi="Calibri" w:eastAsia="宋体" w:cs="Times New Roman"/>
          <w:sz w:val="24"/>
        </w:rPr>
      </w:pPr>
      <w:r>
        <w:rPr>
          <w:rFonts w:ascii="Times New Roman" w:hAnsi="Calibri" w:eastAsia="宋体" w:cs="Times New Roman"/>
          <w:sz w:val="24"/>
        </w:rPr>
        <w:t>据此，本文的核心任务不是推翻原有研究框架，而是在保持研究问题、方法逻辑与主要发现基本一致的前提下，将初稿改写为符合学术论文规范、可供导师审阅或竞赛提交前复核的正式修订稿。</w:t>
      </w:r>
    </w:p>
    <w:p w14:paraId="7B348173">
      <w:pPr>
        <w:pStyle w:val="4"/>
        <w:keepNext/>
        <w:widowControl/>
        <w:numPr>
          <w:ilvl w:val="0"/>
          <w:numId w:val="0"/>
        </w:numPr>
        <w:topLinePunct w:val="0"/>
        <w:ind w:leftChars="0"/>
        <w:rPr>
          <w:rFonts w:hint="eastAsia" w:ascii="楷体" w:hAnsi="楷体" w:eastAsia="楷体" w:cs="楷体"/>
          <w:b w:val="0"/>
        </w:rPr>
      </w:pPr>
      <w:bookmarkStart w:id="6" w:name="_Toc28725"/>
      <w:bookmarkStart w:id="7" w:name="_Toc22482"/>
      <w:r>
        <w:rPr>
          <w:rFonts w:hint="eastAsia"/>
          <w:lang w:eastAsia="zh-CN"/>
        </w:rPr>
        <w:t>（三）</w:t>
      </w:r>
      <w:r>
        <w:t>研究内容与技术路线</w:t>
      </w:r>
      <w:bookmarkEnd w:id="6"/>
      <w:bookmarkEnd w:id="7"/>
    </w:p>
    <w:p w14:paraId="64F00877">
      <w:pPr>
        <w:pStyle w:val="19"/>
        <w:widowControl/>
        <w:rPr>
          <w:rFonts w:ascii="Times New Roman" w:hAnsi="Calibri" w:eastAsia="宋体" w:cs="Times New Roman"/>
          <w:sz w:val="24"/>
        </w:rPr>
      </w:pPr>
      <w:r>
        <w:rPr>
          <w:rFonts w:ascii="Times New Roman" w:hAnsi="Calibri" w:eastAsia="宋体" w:cs="Times New Roman"/>
          <w:sz w:val="24"/>
        </w:rPr>
        <w:t>本文研究内容包括四个部分：第一，基于IPCC系数法与县域农业活动数据构建农业碳排放核算框架，对化肥施用、稻田甲烷、农业能源消耗和土壤碳库变化进行分项核算；第二，利用寿县稻麦轮作农田甲烷通量实测研究结果对稻田甲烷排放因子进行本地化修正；第三，采用K-means聚类、随机森林和SHAP方法识别农业碳排放热点区域与关键驱动因素；第四，在LEAP框架下设置多情景，比较不同减排组合方案的潜力。技术路线可概括为“资料核验—参数校正—总量核算—空间识别—驱动解释—情景模拟—政策建议”。</w:t>
      </w:r>
    </w:p>
    <w:p w14:paraId="5CE4C488">
      <w:pPr>
        <w:pStyle w:val="3"/>
        <w:keepNext/>
        <w:widowControl/>
        <w:numPr>
          <w:ilvl w:val="0"/>
          <w:numId w:val="0"/>
        </w:numPr>
        <w:topLinePunct w:val="0"/>
        <w:ind w:leftChars="0"/>
        <w:rPr>
          <w:rFonts w:hint="eastAsia" w:ascii="黑体" w:hAnsi="黑体" w:eastAsia="黑体" w:cs="黑体"/>
          <w:b w:val="0"/>
        </w:rPr>
      </w:pPr>
      <w:bookmarkStart w:id="8" w:name="_Toc19763"/>
      <w:bookmarkStart w:id="9" w:name="_Toc8679"/>
      <w:r>
        <w:rPr>
          <w:rFonts w:hint="eastAsia"/>
          <w:lang w:eastAsia="zh-CN"/>
        </w:rPr>
        <w:t>二、</w:t>
      </w:r>
      <w:r>
        <w:t>研究区域、数据来源与核验原则</w:t>
      </w:r>
      <w:bookmarkEnd w:id="8"/>
      <w:bookmarkEnd w:id="9"/>
    </w:p>
    <w:p w14:paraId="5A5CBCCC">
      <w:pPr>
        <w:pStyle w:val="4"/>
        <w:keepNext/>
        <w:widowControl/>
        <w:numPr>
          <w:ilvl w:val="0"/>
          <w:numId w:val="0"/>
        </w:numPr>
        <w:topLinePunct w:val="0"/>
        <w:ind w:leftChars="0"/>
        <w:rPr>
          <w:rFonts w:hint="eastAsia" w:ascii="楷体" w:hAnsi="楷体" w:eastAsia="楷体" w:cs="楷体"/>
          <w:b w:val="0"/>
        </w:rPr>
      </w:pPr>
      <w:bookmarkStart w:id="10" w:name="_Toc992"/>
      <w:bookmarkStart w:id="11" w:name="_Toc10143"/>
      <w:r>
        <w:rPr>
          <w:rFonts w:hint="eastAsia"/>
          <w:lang w:eastAsia="zh-CN"/>
        </w:rPr>
        <w:t>（一）</w:t>
      </w:r>
      <w:r>
        <w:t>研究区域概况</w:t>
      </w:r>
      <w:bookmarkEnd w:id="10"/>
      <w:bookmarkEnd w:id="11"/>
    </w:p>
    <w:p w14:paraId="648F6454">
      <w:pPr>
        <w:pStyle w:val="19"/>
        <w:widowControl/>
        <w:rPr>
          <w:rFonts w:ascii="Times New Roman" w:hAnsi="Calibri" w:eastAsia="宋体" w:cs="Times New Roman"/>
          <w:sz w:val="24"/>
        </w:rPr>
      </w:pPr>
      <w:r>
        <w:rPr>
          <w:rFonts w:ascii="Times New Roman" w:hAnsi="Calibri" w:eastAsia="宋体" w:cs="Times New Roman"/>
          <w:sz w:val="24"/>
        </w:rPr>
        <w:t>寿县位于安徽省中部、淮河南岸，区位上连接合肥都市圈与淮河生态经济带，是安徽重要的商品粮生产县。2024年常住人口83.5万人，地区生产总值318.9亿元，第一产业增加值58.9亿元。农业生产方面，寿县稻谷与小麦种植规模大、轮作特征明显，适合开展稻麦轮作农田温室气体排放研究。需要指出的是，初稿中“寿县为国家级农业绿色发展先行区创建县”的说法在本次在线核验中未找到农业农村部正式名单依据，故正式稿中不再采用。</w:t>
      </w:r>
    </w:p>
    <w:p w14:paraId="7C71DB5E">
      <w:pPr>
        <w:pStyle w:val="4"/>
        <w:keepNext/>
        <w:widowControl/>
        <w:numPr>
          <w:ilvl w:val="0"/>
          <w:numId w:val="0"/>
        </w:numPr>
        <w:topLinePunct w:val="0"/>
        <w:ind w:leftChars="0"/>
        <w:rPr>
          <w:rFonts w:hint="eastAsia" w:ascii="楷体" w:hAnsi="楷体" w:eastAsia="楷体" w:cs="楷体"/>
          <w:b w:val="0"/>
        </w:rPr>
      </w:pPr>
      <w:bookmarkStart w:id="12" w:name="_Toc26864"/>
      <w:bookmarkStart w:id="13" w:name="_Toc31733"/>
      <w:r>
        <w:rPr>
          <w:rFonts w:hint="eastAsia"/>
          <w:lang w:eastAsia="zh-CN"/>
        </w:rPr>
        <w:t>（</w:t>
      </w:r>
      <w:r>
        <w:rPr>
          <w:rFonts w:hint="eastAsia"/>
          <w:lang w:val="en-US" w:eastAsia="zh-CN"/>
        </w:rPr>
        <w:t>二</w:t>
      </w:r>
      <w:r>
        <w:rPr>
          <w:rFonts w:hint="eastAsia"/>
          <w:lang w:eastAsia="zh-CN"/>
        </w:rPr>
        <w:t>）</w:t>
      </w:r>
      <w:r>
        <w:t>变量与符号说明</w:t>
      </w:r>
      <w:bookmarkEnd w:id="12"/>
      <w:bookmarkEnd w:id="13"/>
    </w:p>
    <w:tbl>
      <w:tblPr>
        <w:tblStyle w:val="35"/>
        <w:tblW w:w="4997" w:type="pct"/>
        <w:jc w:val="center"/>
        <w:tblBorders>
          <w:top w:val="single" w:color="B7C3D0" w:sz="8" w:space="0"/>
          <w:left w:val="single" w:color="B7C3D0" w:sz="8" w:space="0"/>
          <w:bottom w:val="single" w:color="B7C3D0" w:sz="8" w:space="0"/>
          <w:right w:val="single" w:color="B7C3D0" w:sz="8" w:space="0"/>
          <w:insideH w:val="single" w:color="B7C3D0" w:sz="8" w:space="0"/>
          <w:insideV w:val="single" w:color="B7C3D0" w:sz="8" w:space="0"/>
        </w:tblBorders>
        <w:tblLayout w:type="autofit"/>
        <w:tblCellMar>
          <w:top w:w="0" w:type="dxa"/>
          <w:left w:w="108" w:type="dxa"/>
          <w:bottom w:w="0" w:type="dxa"/>
          <w:right w:w="108" w:type="dxa"/>
        </w:tblCellMar>
      </w:tblPr>
      <w:tblGrid>
        <w:gridCol w:w="1898"/>
        <w:gridCol w:w="1901"/>
        <w:gridCol w:w="1901"/>
        <w:gridCol w:w="1901"/>
        <w:gridCol w:w="1901"/>
      </w:tblGrid>
      <w:tr w14:paraId="2008776B">
        <w:tblPrEx>
          <w:tblBorders>
            <w:top w:val="single" w:color="B7C3D0" w:sz="8" w:space="0"/>
            <w:left w:val="single" w:color="B7C3D0" w:sz="8" w:space="0"/>
            <w:bottom w:val="single" w:color="B7C3D0" w:sz="8" w:space="0"/>
            <w:right w:val="single" w:color="B7C3D0" w:sz="8" w:space="0"/>
            <w:insideH w:val="single" w:color="B7C3D0" w:sz="8" w:space="0"/>
            <w:insideV w:val="single" w:color="B7C3D0" w:sz="8" w:space="0"/>
          </w:tblBorders>
          <w:tblCellMar>
            <w:top w:w="0" w:type="dxa"/>
            <w:left w:w="108" w:type="dxa"/>
            <w:bottom w:w="0" w:type="dxa"/>
            <w:right w:w="108" w:type="dxa"/>
          </w:tblCellMar>
        </w:tblPrEx>
        <w:trPr>
          <w:jc w:val="center"/>
        </w:trPr>
        <w:tc>
          <w:tcPr>
            <w:tcW w:w="999" w:type="pct"/>
            <w:shd w:val="clear" w:color="auto" w:fill="D9EAF4"/>
            <w:vAlign w:val="center"/>
          </w:tcPr>
          <w:p w14:paraId="05D82CE5">
            <w:pPr>
              <w:jc w:val="center"/>
              <w:rPr>
                <w:rFonts w:hint="eastAsia" w:ascii="微软雅黑" w:hAnsi="微软雅黑" w:eastAsia="微软雅黑" w:cs="微软雅黑"/>
              </w:rPr>
            </w:pPr>
            <w:r>
              <w:rPr>
                <w:rFonts w:hint="eastAsia" w:ascii="微软雅黑" w:hAnsi="微软雅黑" w:eastAsia="微软雅黑" w:cs="微软雅黑"/>
                <w:b/>
                <w:sz w:val="20"/>
              </w:rPr>
              <w:t>变量类型</w:t>
            </w:r>
          </w:p>
        </w:tc>
        <w:tc>
          <w:tcPr>
            <w:tcW w:w="1000" w:type="pct"/>
            <w:shd w:val="clear" w:color="auto" w:fill="D9EAF4"/>
            <w:vAlign w:val="center"/>
          </w:tcPr>
          <w:p w14:paraId="659B5DE6">
            <w:pPr>
              <w:jc w:val="center"/>
              <w:rPr>
                <w:rFonts w:hint="eastAsia" w:ascii="微软雅黑" w:hAnsi="微软雅黑" w:eastAsia="微软雅黑" w:cs="微软雅黑"/>
              </w:rPr>
            </w:pPr>
            <w:r>
              <w:rPr>
                <w:rFonts w:hint="eastAsia" w:ascii="微软雅黑" w:hAnsi="微软雅黑" w:eastAsia="微软雅黑" w:cs="微软雅黑"/>
                <w:b/>
                <w:sz w:val="20"/>
              </w:rPr>
              <w:t>符号</w:t>
            </w:r>
          </w:p>
        </w:tc>
        <w:tc>
          <w:tcPr>
            <w:tcW w:w="1000" w:type="pct"/>
            <w:shd w:val="clear" w:color="auto" w:fill="D9EAF4"/>
            <w:vAlign w:val="center"/>
          </w:tcPr>
          <w:p w14:paraId="0825B19D">
            <w:pPr>
              <w:jc w:val="center"/>
              <w:rPr>
                <w:rFonts w:hint="eastAsia" w:ascii="微软雅黑" w:hAnsi="微软雅黑" w:eastAsia="微软雅黑" w:cs="微软雅黑"/>
              </w:rPr>
            </w:pPr>
            <w:r>
              <w:rPr>
                <w:rFonts w:hint="eastAsia" w:ascii="微软雅黑" w:hAnsi="微软雅黑" w:eastAsia="微软雅黑" w:cs="微软雅黑"/>
                <w:b/>
                <w:sz w:val="20"/>
              </w:rPr>
              <w:t>含义</w:t>
            </w:r>
          </w:p>
        </w:tc>
        <w:tc>
          <w:tcPr>
            <w:tcW w:w="1000" w:type="pct"/>
            <w:shd w:val="clear" w:color="auto" w:fill="D9EAF4"/>
            <w:vAlign w:val="center"/>
          </w:tcPr>
          <w:p w14:paraId="07E028C2">
            <w:pPr>
              <w:jc w:val="center"/>
              <w:rPr>
                <w:rFonts w:hint="eastAsia" w:ascii="微软雅黑" w:hAnsi="微软雅黑" w:eastAsia="微软雅黑" w:cs="微软雅黑"/>
              </w:rPr>
            </w:pPr>
            <w:r>
              <w:rPr>
                <w:rFonts w:hint="eastAsia" w:ascii="微软雅黑" w:hAnsi="微软雅黑" w:eastAsia="微软雅黑" w:cs="微软雅黑"/>
                <w:b/>
                <w:sz w:val="20"/>
              </w:rPr>
              <w:t>单位</w:t>
            </w:r>
          </w:p>
        </w:tc>
        <w:tc>
          <w:tcPr>
            <w:tcW w:w="1000" w:type="pct"/>
            <w:shd w:val="clear" w:color="auto" w:fill="D9EAF4"/>
            <w:vAlign w:val="center"/>
          </w:tcPr>
          <w:p w14:paraId="11AC4664">
            <w:pPr>
              <w:jc w:val="center"/>
              <w:rPr>
                <w:rFonts w:hint="eastAsia" w:ascii="微软雅黑" w:hAnsi="微软雅黑" w:eastAsia="微软雅黑" w:cs="微软雅黑"/>
              </w:rPr>
            </w:pPr>
            <w:r>
              <w:rPr>
                <w:rFonts w:hint="eastAsia" w:ascii="微软雅黑" w:hAnsi="微软雅黑" w:eastAsia="微软雅黑" w:cs="微软雅黑"/>
                <w:b/>
                <w:sz w:val="20"/>
              </w:rPr>
              <w:t>预期方向</w:t>
            </w:r>
          </w:p>
        </w:tc>
      </w:tr>
      <w:tr w14:paraId="1E1094C3">
        <w:tblPrEx>
          <w:tblBorders>
            <w:top w:val="single" w:color="B7C3D0" w:sz="8" w:space="0"/>
            <w:left w:val="single" w:color="B7C3D0" w:sz="8" w:space="0"/>
            <w:bottom w:val="single" w:color="B7C3D0" w:sz="8" w:space="0"/>
            <w:right w:val="single" w:color="B7C3D0" w:sz="8" w:space="0"/>
            <w:insideH w:val="single" w:color="B7C3D0" w:sz="8" w:space="0"/>
            <w:insideV w:val="single" w:color="B7C3D0" w:sz="8" w:space="0"/>
          </w:tblBorders>
          <w:tblCellMar>
            <w:top w:w="0" w:type="dxa"/>
            <w:left w:w="108" w:type="dxa"/>
            <w:bottom w:w="0" w:type="dxa"/>
            <w:right w:w="108" w:type="dxa"/>
          </w:tblCellMar>
        </w:tblPrEx>
        <w:trPr>
          <w:jc w:val="center"/>
        </w:trPr>
        <w:tc>
          <w:tcPr>
            <w:tcW w:w="999" w:type="pct"/>
            <w:vAlign w:val="center"/>
          </w:tcPr>
          <w:p w14:paraId="6CBE919A">
            <w:pPr>
              <w:jc w:val="center"/>
              <w:rPr>
                <w:rFonts w:hint="eastAsia" w:ascii="微软雅黑" w:hAnsi="微软雅黑" w:eastAsia="微软雅黑" w:cs="微软雅黑"/>
              </w:rPr>
            </w:pPr>
            <w:r>
              <w:rPr>
                <w:rFonts w:hint="eastAsia" w:ascii="微软雅黑" w:hAnsi="微软雅黑" w:eastAsia="微软雅黑" w:cs="微软雅黑"/>
                <w:b w:val="0"/>
                <w:sz w:val="20"/>
              </w:rPr>
              <w:t>因变量</w:t>
            </w:r>
          </w:p>
        </w:tc>
        <w:tc>
          <w:tcPr>
            <w:tcW w:w="1000" w:type="pct"/>
            <w:vAlign w:val="center"/>
          </w:tcPr>
          <w:p w14:paraId="18BBF25B">
            <w:pPr>
              <w:jc w:val="center"/>
              <w:rPr>
                <w:rFonts w:hint="eastAsia" w:ascii="微软雅黑" w:hAnsi="微软雅黑" w:eastAsia="微软雅黑" w:cs="微软雅黑"/>
              </w:rPr>
            </w:pPr>
            <w:r>
              <w:rPr>
                <w:rFonts w:hint="eastAsia" w:ascii="微软雅黑" w:hAnsi="微软雅黑" w:eastAsia="微软雅黑" w:cs="微软雅黑"/>
                <w:b w:val="0"/>
                <w:sz w:val="20"/>
              </w:rPr>
              <w:t>Y</w:t>
            </w:r>
          </w:p>
        </w:tc>
        <w:tc>
          <w:tcPr>
            <w:tcW w:w="1000" w:type="pct"/>
            <w:vAlign w:val="center"/>
          </w:tcPr>
          <w:p w14:paraId="7F0F1751">
            <w:pPr>
              <w:jc w:val="center"/>
              <w:rPr>
                <w:rFonts w:hint="eastAsia" w:ascii="微软雅黑" w:hAnsi="微软雅黑" w:eastAsia="微软雅黑" w:cs="微软雅黑"/>
              </w:rPr>
            </w:pPr>
            <w:r>
              <w:rPr>
                <w:rFonts w:hint="eastAsia" w:ascii="微软雅黑" w:hAnsi="微软雅黑" w:eastAsia="微软雅黑" w:cs="微软雅黑"/>
                <w:b w:val="0"/>
                <w:sz w:val="20"/>
              </w:rPr>
              <w:t>农业碳排放总量</w:t>
            </w:r>
          </w:p>
        </w:tc>
        <w:tc>
          <w:tcPr>
            <w:tcW w:w="1000" w:type="pct"/>
            <w:vAlign w:val="center"/>
          </w:tcPr>
          <w:p w14:paraId="40641CDE">
            <w:pPr>
              <w:jc w:val="center"/>
              <w:rPr>
                <w:rFonts w:hint="eastAsia" w:ascii="微软雅黑" w:hAnsi="微软雅黑" w:eastAsia="微软雅黑" w:cs="微软雅黑"/>
              </w:rPr>
            </w:pPr>
            <w:r>
              <w:rPr>
                <w:rFonts w:hint="eastAsia" w:ascii="微软雅黑" w:hAnsi="微软雅黑" w:eastAsia="微软雅黑" w:cs="微软雅黑"/>
                <w:b w:val="0"/>
                <w:sz w:val="20"/>
              </w:rPr>
              <w:t>吨CO2e</w:t>
            </w:r>
          </w:p>
        </w:tc>
        <w:tc>
          <w:tcPr>
            <w:tcW w:w="1000" w:type="pct"/>
            <w:vAlign w:val="center"/>
          </w:tcPr>
          <w:p w14:paraId="5DC5FC7E">
            <w:pPr>
              <w:jc w:val="center"/>
              <w:rPr>
                <w:rFonts w:hint="eastAsia" w:ascii="微软雅黑" w:hAnsi="微软雅黑" w:eastAsia="微软雅黑" w:cs="微软雅黑"/>
              </w:rPr>
            </w:pPr>
            <w:r>
              <w:rPr>
                <w:rFonts w:hint="eastAsia" w:ascii="微软雅黑" w:hAnsi="微软雅黑" w:eastAsia="微软雅黑" w:cs="微软雅黑"/>
                <w:b w:val="0"/>
                <w:sz w:val="20"/>
              </w:rPr>
              <w:t>—</w:t>
            </w:r>
          </w:p>
        </w:tc>
      </w:tr>
      <w:tr w14:paraId="7197BDDC">
        <w:tblPrEx>
          <w:tblBorders>
            <w:top w:val="single" w:color="B7C3D0" w:sz="8" w:space="0"/>
            <w:left w:val="single" w:color="B7C3D0" w:sz="8" w:space="0"/>
            <w:bottom w:val="single" w:color="B7C3D0" w:sz="8" w:space="0"/>
            <w:right w:val="single" w:color="B7C3D0" w:sz="8" w:space="0"/>
            <w:insideH w:val="single" w:color="B7C3D0" w:sz="8" w:space="0"/>
            <w:insideV w:val="single" w:color="B7C3D0" w:sz="8" w:space="0"/>
          </w:tblBorders>
          <w:tblCellMar>
            <w:top w:w="0" w:type="dxa"/>
            <w:left w:w="108" w:type="dxa"/>
            <w:bottom w:w="0" w:type="dxa"/>
            <w:right w:w="108" w:type="dxa"/>
          </w:tblCellMar>
        </w:tblPrEx>
        <w:trPr>
          <w:jc w:val="center"/>
        </w:trPr>
        <w:tc>
          <w:tcPr>
            <w:tcW w:w="999" w:type="pct"/>
            <w:vAlign w:val="center"/>
          </w:tcPr>
          <w:p w14:paraId="1C0E4D51">
            <w:pPr>
              <w:jc w:val="center"/>
              <w:rPr>
                <w:rFonts w:hint="eastAsia" w:ascii="微软雅黑" w:hAnsi="微软雅黑" w:eastAsia="微软雅黑" w:cs="微软雅黑"/>
              </w:rPr>
            </w:pPr>
            <w:r>
              <w:rPr>
                <w:rFonts w:hint="eastAsia" w:ascii="微软雅黑" w:hAnsi="微软雅黑" w:eastAsia="微软雅黑" w:cs="微软雅黑"/>
                <w:b w:val="0"/>
                <w:sz w:val="20"/>
              </w:rPr>
              <w:t>核心解释变量</w:t>
            </w:r>
          </w:p>
        </w:tc>
        <w:tc>
          <w:tcPr>
            <w:tcW w:w="1000" w:type="pct"/>
            <w:vAlign w:val="center"/>
          </w:tcPr>
          <w:p w14:paraId="0E9633DA">
            <w:pPr>
              <w:jc w:val="center"/>
              <w:rPr>
                <w:rFonts w:hint="eastAsia" w:ascii="微软雅黑" w:hAnsi="微软雅黑" w:eastAsia="微软雅黑" w:cs="微软雅黑"/>
              </w:rPr>
            </w:pPr>
            <w:r>
              <w:rPr>
                <w:rFonts w:hint="eastAsia" w:ascii="微软雅黑" w:hAnsi="微软雅黑" w:eastAsia="微软雅黑" w:cs="微软雅黑"/>
                <w:b w:val="0"/>
                <w:sz w:val="20"/>
              </w:rPr>
              <w:t>X1</w:t>
            </w:r>
          </w:p>
        </w:tc>
        <w:tc>
          <w:tcPr>
            <w:tcW w:w="1000" w:type="pct"/>
            <w:vAlign w:val="center"/>
          </w:tcPr>
          <w:p w14:paraId="3546FFBB">
            <w:pPr>
              <w:jc w:val="center"/>
              <w:rPr>
                <w:rFonts w:hint="eastAsia" w:ascii="微软雅黑" w:hAnsi="微软雅黑" w:eastAsia="微软雅黑" w:cs="微软雅黑"/>
              </w:rPr>
            </w:pPr>
            <w:r>
              <w:rPr>
                <w:rFonts w:hint="eastAsia" w:ascii="微软雅黑" w:hAnsi="微软雅黑" w:eastAsia="微软雅黑" w:cs="微软雅黑"/>
                <w:b w:val="0"/>
                <w:sz w:val="20"/>
              </w:rPr>
              <w:t>氮肥施用量</w:t>
            </w:r>
          </w:p>
        </w:tc>
        <w:tc>
          <w:tcPr>
            <w:tcW w:w="1000" w:type="pct"/>
            <w:vAlign w:val="center"/>
          </w:tcPr>
          <w:p w14:paraId="46B7CF0F">
            <w:pPr>
              <w:jc w:val="center"/>
              <w:rPr>
                <w:rFonts w:hint="eastAsia" w:ascii="微软雅黑" w:hAnsi="微软雅黑" w:eastAsia="微软雅黑" w:cs="微软雅黑"/>
              </w:rPr>
            </w:pPr>
            <w:r>
              <w:rPr>
                <w:rFonts w:hint="eastAsia" w:ascii="微软雅黑" w:hAnsi="微软雅黑" w:eastAsia="微软雅黑" w:cs="微软雅黑"/>
                <w:b w:val="0"/>
                <w:sz w:val="20"/>
              </w:rPr>
              <w:t>吨</w:t>
            </w:r>
          </w:p>
        </w:tc>
        <w:tc>
          <w:tcPr>
            <w:tcW w:w="1000" w:type="pct"/>
            <w:vAlign w:val="center"/>
          </w:tcPr>
          <w:p w14:paraId="601221E7">
            <w:pPr>
              <w:jc w:val="center"/>
              <w:rPr>
                <w:rFonts w:hint="eastAsia" w:ascii="微软雅黑" w:hAnsi="微软雅黑" w:eastAsia="微软雅黑" w:cs="微软雅黑"/>
              </w:rPr>
            </w:pPr>
            <w:r>
              <w:rPr>
                <w:rFonts w:hint="eastAsia" w:ascii="微软雅黑" w:hAnsi="微软雅黑" w:eastAsia="微软雅黑" w:cs="微软雅黑"/>
                <w:b w:val="0"/>
                <w:sz w:val="20"/>
              </w:rPr>
              <w:t>正</w:t>
            </w:r>
          </w:p>
        </w:tc>
      </w:tr>
      <w:tr w14:paraId="1CB174EB">
        <w:tblPrEx>
          <w:tblBorders>
            <w:top w:val="single" w:color="B7C3D0" w:sz="8" w:space="0"/>
            <w:left w:val="single" w:color="B7C3D0" w:sz="8" w:space="0"/>
            <w:bottom w:val="single" w:color="B7C3D0" w:sz="8" w:space="0"/>
            <w:right w:val="single" w:color="B7C3D0" w:sz="8" w:space="0"/>
            <w:insideH w:val="single" w:color="B7C3D0" w:sz="8" w:space="0"/>
            <w:insideV w:val="single" w:color="B7C3D0" w:sz="8" w:space="0"/>
          </w:tblBorders>
          <w:tblCellMar>
            <w:top w:w="0" w:type="dxa"/>
            <w:left w:w="108" w:type="dxa"/>
            <w:bottom w:w="0" w:type="dxa"/>
            <w:right w:w="108" w:type="dxa"/>
          </w:tblCellMar>
        </w:tblPrEx>
        <w:trPr>
          <w:jc w:val="center"/>
        </w:trPr>
        <w:tc>
          <w:tcPr>
            <w:tcW w:w="999" w:type="pct"/>
            <w:vAlign w:val="center"/>
          </w:tcPr>
          <w:p w14:paraId="27C1A988">
            <w:pPr>
              <w:jc w:val="center"/>
              <w:rPr>
                <w:rFonts w:hint="eastAsia" w:ascii="微软雅黑" w:hAnsi="微软雅黑" w:eastAsia="微软雅黑" w:cs="微软雅黑"/>
              </w:rPr>
            </w:pPr>
            <w:r>
              <w:rPr>
                <w:rFonts w:hint="eastAsia" w:ascii="微软雅黑" w:hAnsi="微软雅黑" w:eastAsia="微软雅黑" w:cs="微软雅黑"/>
                <w:b w:val="0"/>
                <w:sz w:val="20"/>
              </w:rPr>
              <w:t>核心解释变量</w:t>
            </w:r>
          </w:p>
        </w:tc>
        <w:tc>
          <w:tcPr>
            <w:tcW w:w="1000" w:type="pct"/>
            <w:vAlign w:val="center"/>
          </w:tcPr>
          <w:p w14:paraId="7C8C4ECB">
            <w:pPr>
              <w:jc w:val="center"/>
              <w:rPr>
                <w:rFonts w:hint="eastAsia" w:ascii="微软雅黑" w:hAnsi="微软雅黑" w:eastAsia="微软雅黑" w:cs="微软雅黑"/>
              </w:rPr>
            </w:pPr>
            <w:r>
              <w:rPr>
                <w:rFonts w:hint="eastAsia" w:ascii="微软雅黑" w:hAnsi="微软雅黑" w:eastAsia="微软雅黑" w:cs="微软雅黑"/>
                <w:b w:val="0"/>
                <w:sz w:val="20"/>
              </w:rPr>
              <w:t>X2</w:t>
            </w:r>
          </w:p>
        </w:tc>
        <w:tc>
          <w:tcPr>
            <w:tcW w:w="1000" w:type="pct"/>
            <w:vAlign w:val="center"/>
          </w:tcPr>
          <w:p w14:paraId="012D6634">
            <w:pPr>
              <w:jc w:val="center"/>
              <w:rPr>
                <w:rFonts w:hint="eastAsia" w:ascii="微软雅黑" w:hAnsi="微软雅黑" w:eastAsia="微软雅黑" w:cs="微软雅黑"/>
              </w:rPr>
            </w:pPr>
            <w:r>
              <w:rPr>
                <w:rFonts w:hint="eastAsia" w:ascii="微软雅黑" w:hAnsi="微软雅黑" w:eastAsia="微软雅黑" w:cs="微软雅黑"/>
                <w:b w:val="0"/>
                <w:sz w:val="20"/>
              </w:rPr>
              <w:t>水稻播种面积</w:t>
            </w:r>
          </w:p>
        </w:tc>
        <w:tc>
          <w:tcPr>
            <w:tcW w:w="1000" w:type="pct"/>
            <w:vAlign w:val="center"/>
          </w:tcPr>
          <w:p w14:paraId="79D79ABF">
            <w:pPr>
              <w:jc w:val="center"/>
              <w:rPr>
                <w:rFonts w:hint="eastAsia" w:ascii="微软雅黑" w:hAnsi="微软雅黑" w:eastAsia="微软雅黑" w:cs="微软雅黑"/>
              </w:rPr>
            </w:pPr>
            <w:r>
              <w:rPr>
                <w:rFonts w:hint="eastAsia" w:ascii="微软雅黑" w:hAnsi="微软雅黑" w:eastAsia="微软雅黑" w:cs="微软雅黑"/>
                <w:b w:val="0"/>
                <w:sz w:val="20"/>
              </w:rPr>
              <w:t>公顷</w:t>
            </w:r>
          </w:p>
        </w:tc>
        <w:tc>
          <w:tcPr>
            <w:tcW w:w="1000" w:type="pct"/>
            <w:vAlign w:val="center"/>
          </w:tcPr>
          <w:p w14:paraId="79CE3FDC">
            <w:pPr>
              <w:jc w:val="center"/>
              <w:rPr>
                <w:rFonts w:hint="eastAsia" w:ascii="微软雅黑" w:hAnsi="微软雅黑" w:eastAsia="微软雅黑" w:cs="微软雅黑"/>
              </w:rPr>
            </w:pPr>
            <w:r>
              <w:rPr>
                <w:rFonts w:hint="eastAsia" w:ascii="微软雅黑" w:hAnsi="微软雅黑" w:eastAsia="微软雅黑" w:cs="微软雅黑"/>
                <w:b w:val="0"/>
                <w:sz w:val="20"/>
              </w:rPr>
              <w:t>正</w:t>
            </w:r>
          </w:p>
        </w:tc>
      </w:tr>
      <w:tr w14:paraId="5121B350">
        <w:tblPrEx>
          <w:tblBorders>
            <w:top w:val="single" w:color="B7C3D0" w:sz="8" w:space="0"/>
            <w:left w:val="single" w:color="B7C3D0" w:sz="8" w:space="0"/>
            <w:bottom w:val="single" w:color="B7C3D0" w:sz="8" w:space="0"/>
            <w:right w:val="single" w:color="B7C3D0" w:sz="8" w:space="0"/>
            <w:insideH w:val="single" w:color="B7C3D0" w:sz="8" w:space="0"/>
            <w:insideV w:val="single" w:color="B7C3D0" w:sz="8" w:space="0"/>
          </w:tblBorders>
          <w:tblCellMar>
            <w:top w:w="0" w:type="dxa"/>
            <w:left w:w="108" w:type="dxa"/>
            <w:bottom w:w="0" w:type="dxa"/>
            <w:right w:w="108" w:type="dxa"/>
          </w:tblCellMar>
        </w:tblPrEx>
        <w:trPr>
          <w:jc w:val="center"/>
        </w:trPr>
        <w:tc>
          <w:tcPr>
            <w:tcW w:w="999" w:type="pct"/>
            <w:vAlign w:val="center"/>
          </w:tcPr>
          <w:p w14:paraId="700682C7">
            <w:pPr>
              <w:jc w:val="center"/>
              <w:rPr>
                <w:rFonts w:hint="eastAsia" w:ascii="微软雅黑" w:hAnsi="微软雅黑" w:eastAsia="微软雅黑" w:cs="微软雅黑"/>
              </w:rPr>
            </w:pPr>
            <w:r>
              <w:rPr>
                <w:rFonts w:hint="eastAsia" w:ascii="微软雅黑" w:hAnsi="微软雅黑" w:eastAsia="微软雅黑" w:cs="微软雅黑"/>
                <w:b w:val="0"/>
                <w:sz w:val="20"/>
              </w:rPr>
              <w:t>核心解释变量</w:t>
            </w:r>
          </w:p>
        </w:tc>
        <w:tc>
          <w:tcPr>
            <w:tcW w:w="1000" w:type="pct"/>
            <w:vAlign w:val="center"/>
          </w:tcPr>
          <w:p w14:paraId="3532A99F">
            <w:pPr>
              <w:jc w:val="center"/>
              <w:rPr>
                <w:rFonts w:hint="eastAsia" w:ascii="微软雅黑" w:hAnsi="微软雅黑" w:eastAsia="微软雅黑" w:cs="微软雅黑"/>
              </w:rPr>
            </w:pPr>
            <w:r>
              <w:rPr>
                <w:rFonts w:hint="eastAsia" w:ascii="微软雅黑" w:hAnsi="微软雅黑" w:eastAsia="微软雅黑" w:cs="微软雅黑"/>
                <w:b w:val="0"/>
                <w:sz w:val="20"/>
              </w:rPr>
              <w:t>X3</w:t>
            </w:r>
          </w:p>
        </w:tc>
        <w:tc>
          <w:tcPr>
            <w:tcW w:w="1000" w:type="pct"/>
            <w:vAlign w:val="center"/>
          </w:tcPr>
          <w:p w14:paraId="5C8B6F77">
            <w:pPr>
              <w:jc w:val="center"/>
              <w:rPr>
                <w:rFonts w:hint="eastAsia" w:ascii="微软雅黑" w:hAnsi="微软雅黑" w:eastAsia="微软雅黑" w:cs="微软雅黑"/>
              </w:rPr>
            </w:pPr>
            <w:r>
              <w:rPr>
                <w:rFonts w:hint="eastAsia" w:ascii="微软雅黑" w:hAnsi="微软雅黑" w:eastAsia="微软雅黑" w:cs="微软雅黑"/>
                <w:b w:val="0"/>
                <w:sz w:val="20"/>
              </w:rPr>
              <w:t>有效灌溉面积</w:t>
            </w:r>
          </w:p>
        </w:tc>
        <w:tc>
          <w:tcPr>
            <w:tcW w:w="1000" w:type="pct"/>
            <w:vAlign w:val="center"/>
          </w:tcPr>
          <w:p w14:paraId="1D841995">
            <w:pPr>
              <w:jc w:val="center"/>
              <w:rPr>
                <w:rFonts w:hint="eastAsia" w:ascii="微软雅黑" w:hAnsi="微软雅黑" w:eastAsia="微软雅黑" w:cs="微软雅黑"/>
              </w:rPr>
            </w:pPr>
            <w:r>
              <w:rPr>
                <w:rFonts w:hint="eastAsia" w:ascii="微软雅黑" w:hAnsi="微软雅黑" w:eastAsia="微软雅黑" w:cs="微软雅黑"/>
                <w:b w:val="0"/>
                <w:sz w:val="20"/>
              </w:rPr>
              <w:t>公顷</w:t>
            </w:r>
          </w:p>
        </w:tc>
        <w:tc>
          <w:tcPr>
            <w:tcW w:w="1000" w:type="pct"/>
            <w:vAlign w:val="center"/>
          </w:tcPr>
          <w:p w14:paraId="041970D7">
            <w:pPr>
              <w:jc w:val="center"/>
              <w:rPr>
                <w:rFonts w:hint="eastAsia" w:ascii="微软雅黑" w:hAnsi="微软雅黑" w:eastAsia="微软雅黑" w:cs="微软雅黑"/>
              </w:rPr>
            </w:pPr>
            <w:r>
              <w:rPr>
                <w:rFonts w:hint="eastAsia" w:ascii="微软雅黑" w:hAnsi="微软雅黑" w:eastAsia="微软雅黑" w:cs="微软雅黑"/>
                <w:b w:val="0"/>
                <w:sz w:val="20"/>
              </w:rPr>
              <w:t>正</w:t>
            </w:r>
          </w:p>
        </w:tc>
      </w:tr>
      <w:tr w14:paraId="5A3571D8">
        <w:tblPrEx>
          <w:tblBorders>
            <w:top w:val="single" w:color="B7C3D0" w:sz="8" w:space="0"/>
            <w:left w:val="single" w:color="B7C3D0" w:sz="8" w:space="0"/>
            <w:bottom w:val="single" w:color="B7C3D0" w:sz="8" w:space="0"/>
            <w:right w:val="single" w:color="B7C3D0" w:sz="8" w:space="0"/>
            <w:insideH w:val="single" w:color="B7C3D0" w:sz="8" w:space="0"/>
            <w:insideV w:val="single" w:color="B7C3D0" w:sz="8" w:space="0"/>
          </w:tblBorders>
          <w:tblCellMar>
            <w:top w:w="0" w:type="dxa"/>
            <w:left w:w="108" w:type="dxa"/>
            <w:bottom w:w="0" w:type="dxa"/>
            <w:right w:w="108" w:type="dxa"/>
          </w:tblCellMar>
        </w:tblPrEx>
        <w:trPr>
          <w:jc w:val="center"/>
        </w:trPr>
        <w:tc>
          <w:tcPr>
            <w:tcW w:w="999" w:type="pct"/>
            <w:vAlign w:val="center"/>
          </w:tcPr>
          <w:p w14:paraId="0FE63443">
            <w:pPr>
              <w:jc w:val="center"/>
              <w:rPr>
                <w:rFonts w:hint="eastAsia" w:ascii="微软雅黑" w:hAnsi="微软雅黑" w:eastAsia="微软雅黑" w:cs="微软雅黑"/>
              </w:rPr>
            </w:pPr>
            <w:r>
              <w:rPr>
                <w:rFonts w:hint="eastAsia" w:ascii="微软雅黑" w:hAnsi="微软雅黑" w:eastAsia="微软雅黑" w:cs="微软雅黑"/>
                <w:b w:val="0"/>
                <w:sz w:val="20"/>
              </w:rPr>
              <w:t>控制变量</w:t>
            </w:r>
          </w:p>
        </w:tc>
        <w:tc>
          <w:tcPr>
            <w:tcW w:w="1000" w:type="pct"/>
            <w:vAlign w:val="center"/>
          </w:tcPr>
          <w:p w14:paraId="5A3D45BA">
            <w:pPr>
              <w:jc w:val="center"/>
              <w:rPr>
                <w:rFonts w:hint="eastAsia" w:ascii="微软雅黑" w:hAnsi="微软雅黑" w:eastAsia="微软雅黑" w:cs="微软雅黑"/>
              </w:rPr>
            </w:pPr>
            <w:r>
              <w:rPr>
                <w:rFonts w:hint="eastAsia" w:ascii="微软雅黑" w:hAnsi="微软雅黑" w:eastAsia="微软雅黑" w:cs="微软雅黑"/>
                <w:b w:val="0"/>
                <w:sz w:val="20"/>
              </w:rPr>
              <w:t>X4</w:t>
            </w:r>
          </w:p>
        </w:tc>
        <w:tc>
          <w:tcPr>
            <w:tcW w:w="1000" w:type="pct"/>
            <w:vAlign w:val="center"/>
          </w:tcPr>
          <w:p w14:paraId="5CF8B195">
            <w:pPr>
              <w:jc w:val="center"/>
              <w:rPr>
                <w:rFonts w:hint="eastAsia" w:ascii="微软雅黑" w:hAnsi="微软雅黑" w:eastAsia="微软雅黑" w:cs="微软雅黑"/>
              </w:rPr>
            </w:pPr>
            <w:r>
              <w:rPr>
                <w:rFonts w:hint="eastAsia" w:ascii="微软雅黑" w:hAnsi="微软雅黑" w:eastAsia="微软雅黑" w:cs="微软雅黑"/>
                <w:b w:val="0"/>
                <w:sz w:val="20"/>
              </w:rPr>
              <w:t>农业机械总动力</w:t>
            </w:r>
          </w:p>
        </w:tc>
        <w:tc>
          <w:tcPr>
            <w:tcW w:w="1000" w:type="pct"/>
            <w:vAlign w:val="center"/>
          </w:tcPr>
          <w:p w14:paraId="71B37B55">
            <w:pPr>
              <w:jc w:val="center"/>
              <w:rPr>
                <w:rFonts w:hint="eastAsia" w:ascii="微软雅黑" w:hAnsi="微软雅黑" w:eastAsia="微软雅黑" w:cs="微软雅黑"/>
              </w:rPr>
            </w:pPr>
            <w:r>
              <w:rPr>
                <w:rFonts w:hint="eastAsia" w:ascii="微软雅黑" w:hAnsi="微软雅黑" w:eastAsia="微软雅黑" w:cs="微软雅黑"/>
                <w:b w:val="0"/>
                <w:sz w:val="20"/>
              </w:rPr>
              <w:t>千瓦</w:t>
            </w:r>
          </w:p>
        </w:tc>
        <w:tc>
          <w:tcPr>
            <w:tcW w:w="1000" w:type="pct"/>
            <w:vAlign w:val="center"/>
          </w:tcPr>
          <w:p w14:paraId="47B03E5B">
            <w:pPr>
              <w:jc w:val="center"/>
              <w:rPr>
                <w:rFonts w:hint="eastAsia" w:ascii="微软雅黑" w:hAnsi="微软雅黑" w:eastAsia="微软雅黑" w:cs="微软雅黑"/>
              </w:rPr>
            </w:pPr>
            <w:r>
              <w:rPr>
                <w:rFonts w:hint="eastAsia" w:ascii="微软雅黑" w:hAnsi="微软雅黑" w:eastAsia="微软雅黑" w:cs="微软雅黑"/>
                <w:b w:val="0"/>
                <w:sz w:val="20"/>
              </w:rPr>
              <w:t>正</w:t>
            </w:r>
          </w:p>
        </w:tc>
      </w:tr>
      <w:tr w14:paraId="56F86A3B">
        <w:tblPrEx>
          <w:tblBorders>
            <w:top w:val="single" w:color="B7C3D0" w:sz="8" w:space="0"/>
            <w:left w:val="single" w:color="B7C3D0" w:sz="8" w:space="0"/>
            <w:bottom w:val="single" w:color="B7C3D0" w:sz="8" w:space="0"/>
            <w:right w:val="single" w:color="B7C3D0" w:sz="8" w:space="0"/>
            <w:insideH w:val="single" w:color="B7C3D0" w:sz="8" w:space="0"/>
            <w:insideV w:val="single" w:color="B7C3D0" w:sz="8" w:space="0"/>
          </w:tblBorders>
          <w:tblCellMar>
            <w:top w:w="0" w:type="dxa"/>
            <w:left w:w="108" w:type="dxa"/>
            <w:bottom w:w="0" w:type="dxa"/>
            <w:right w:w="108" w:type="dxa"/>
          </w:tblCellMar>
        </w:tblPrEx>
        <w:trPr>
          <w:jc w:val="center"/>
        </w:trPr>
        <w:tc>
          <w:tcPr>
            <w:tcW w:w="999" w:type="pct"/>
            <w:vAlign w:val="center"/>
          </w:tcPr>
          <w:p w14:paraId="6A2FDE55">
            <w:pPr>
              <w:jc w:val="center"/>
              <w:rPr>
                <w:rFonts w:hint="eastAsia" w:ascii="微软雅黑" w:hAnsi="微软雅黑" w:eastAsia="微软雅黑" w:cs="微软雅黑"/>
              </w:rPr>
            </w:pPr>
            <w:r>
              <w:rPr>
                <w:rFonts w:hint="eastAsia" w:ascii="微软雅黑" w:hAnsi="微软雅黑" w:eastAsia="微软雅黑" w:cs="微软雅黑"/>
                <w:b w:val="0"/>
                <w:sz w:val="20"/>
              </w:rPr>
              <w:t>控制变量</w:t>
            </w:r>
          </w:p>
        </w:tc>
        <w:tc>
          <w:tcPr>
            <w:tcW w:w="1000" w:type="pct"/>
            <w:vAlign w:val="center"/>
          </w:tcPr>
          <w:p w14:paraId="16D56BDB">
            <w:pPr>
              <w:jc w:val="center"/>
              <w:rPr>
                <w:rFonts w:hint="eastAsia" w:ascii="微软雅黑" w:hAnsi="微软雅黑" w:eastAsia="微软雅黑" w:cs="微软雅黑"/>
              </w:rPr>
            </w:pPr>
            <w:r>
              <w:rPr>
                <w:rFonts w:hint="eastAsia" w:ascii="微软雅黑" w:hAnsi="微软雅黑" w:eastAsia="微软雅黑" w:cs="微软雅黑"/>
                <w:b w:val="0"/>
                <w:sz w:val="20"/>
              </w:rPr>
              <w:t>X5</w:t>
            </w:r>
          </w:p>
        </w:tc>
        <w:tc>
          <w:tcPr>
            <w:tcW w:w="1000" w:type="pct"/>
            <w:vAlign w:val="center"/>
          </w:tcPr>
          <w:p w14:paraId="7D472879">
            <w:pPr>
              <w:jc w:val="center"/>
              <w:rPr>
                <w:rFonts w:hint="eastAsia" w:ascii="微软雅黑" w:hAnsi="微软雅黑" w:eastAsia="微软雅黑" w:cs="微软雅黑"/>
              </w:rPr>
            </w:pPr>
            <w:r>
              <w:rPr>
                <w:rFonts w:hint="eastAsia" w:ascii="微软雅黑" w:hAnsi="微软雅黑" w:eastAsia="微软雅黑" w:cs="微软雅黑"/>
                <w:b w:val="0"/>
                <w:sz w:val="20"/>
              </w:rPr>
              <w:t>农业劳动力</w:t>
            </w:r>
          </w:p>
        </w:tc>
        <w:tc>
          <w:tcPr>
            <w:tcW w:w="1000" w:type="pct"/>
            <w:vAlign w:val="center"/>
          </w:tcPr>
          <w:p w14:paraId="75D9D258">
            <w:pPr>
              <w:jc w:val="center"/>
              <w:rPr>
                <w:rFonts w:hint="eastAsia" w:ascii="微软雅黑" w:hAnsi="微软雅黑" w:eastAsia="微软雅黑" w:cs="微软雅黑"/>
              </w:rPr>
            </w:pPr>
            <w:r>
              <w:rPr>
                <w:rFonts w:hint="eastAsia" w:ascii="微软雅黑" w:hAnsi="微软雅黑" w:eastAsia="微软雅黑" w:cs="微软雅黑"/>
                <w:b w:val="0"/>
                <w:sz w:val="20"/>
              </w:rPr>
              <w:t>人</w:t>
            </w:r>
          </w:p>
        </w:tc>
        <w:tc>
          <w:tcPr>
            <w:tcW w:w="1000" w:type="pct"/>
            <w:vAlign w:val="center"/>
          </w:tcPr>
          <w:p w14:paraId="1CB36069">
            <w:pPr>
              <w:jc w:val="center"/>
              <w:rPr>
                <w:rFonts w:hint="eastAsia" w:ascii="微软雅黑" w:hAnsi="微软雅黑" w:eastAsia="微软雅黑" w:cs="微软雅黑"/>
              </w:rPr>
            </w:pPr>
            <w:r>
              <w:rPr>
                <w:rFonts w:hint="eastAsia" w:ascii="微软雅黑" w:hAnsi="微软雅黑" w:eastAsia="微软雅黑" w:cs="微软雅黑"/>
                <w:b w:val="0"/>
                <w:sz w:val="20"/>
              </w:rPr>
              <w:t>不确定</w:t>
            </w:r>
          </w:p>
        </w:tc>
      </w:tr>
      <w:tr w14:paraId="073C4403">
        <w:tblPrEx>
          <w:tblBorders>
            <w:top w:val="single" w:color="B7C3D0" w:sz="8" w:space="0"/>
            <w:left w:val="single" w:color="B7C3D0" w:sz="8" w:space="0"/>
            <w:bottom w:val="single" w:color="B7C3D0" w:sz="8" w:space="0"/>
            <w:right w:val="single" w:color="B7C3D0" w:sz="8" w:space="0"/>
            <w:insideH w:val="single" w:color="B7C3D0" w:sz="8" w:space="0"/>
            <w:insideV w:val="single" w:color="B7C3D0" w:sz="8" w:space="0"/>
          </w:tblBorders>
          <w:tblCellMar>
            <w:top w:w="0" w:type="dxa"/>
            <w:left w:w="108" w:type="dxa"/>
            <w:bottom w:w="0" w:type="dxa"/>
            <w:right w:w="108" w:type="dxa"/>
          </w:tblCellMar>
        </w:tblPrEx>
        <w:trPr>
          <w:jc w:val="center"/>
        </w:trPr>
        <w:tc>
          <w:tcPr>
            <w:tcW w:w="999" w:type="pct"/>
            <w:vAlign w:val="center"/>
          </w:tcPr>
          <w:p w14:paraId="41237980">
            <w:pPr>
              <w:jc w:val="center"/>
              <w:rPr>
                <w:rFonts w:hint="eastAsia" w:ascii="微软雅黑" w:hAnsi="微软雅黑" w:eastAsia="微软雅黑" w:cs="微软雅黑"/>
              </w:rPr>
            </w:pPr>
            <w:r>
              <w:rPr>
                <w:rFonts w:hint="eastAsia" w:ascii="微软雅黑" w:hAnsi="微软雅黑" w:eastAsia="微软雅黑" w:cs="微软雅黑"/>
                <w:b w:val="0"/>
                <w:sz w:val="20"/>
              </w:rPr>
              <w:t>控制变量</w:t>
            </w:r>
          </w:p>
        </w:tc>
        <w:tc>
          <w:tcPr>
            <w:tcW w:w="1000" w:type="pct"/>
            <w:vAlign w:val="center"/>
          </w:tcPr>
          <w:p w14:paraId="32168BB5">
            <w:pPr>
              <w:jc w:val="center"/>
              <w:rPr>
                <w:rFonts w:hint="eastAsia" w:ascii="微软雅黑" w:hAnsi="微软雅黑" w:eastAsia="微软雅黑" w:cs="微软雅黑"/>
              </w:rPr>
            </w:pPr>
            <w:r>
              <w:rPr>
                <w:rFonts w:hint="eastAsia" w:ascii="微软雅黑" w:hAnsi="微软雅黑" w:eastAsia="微软雅黑" w:cs="微软雅黑"/>
                <w:b w:val="0"/>
                <w:sz w:val="20"/>
              </w:rPr>
              <w:t>X6</w:t>
            </w:r>
          </w:p>
        </w:tc>
        <w:tc>
          <w:tcPr>
            <w:tcW w:w="1000" w:type="pct"/>
            <w:vAlign w:val="center"/>
          </w:tcPr>
          <w:p w14:paraId="191BDD06">
            <w:pPr>
              <w:jc w:val="center"/>
              <w:rPr>
                <w:rFonts w:hint="eastAsia" w:ascii="微软雅黑" w:hAnsi="微软雅黑" w:eastAsia="微软雅黑" w:cs="微软雅黑"/>
              </w:rPr>
            </w:pPr>
            <w:r>
              <w:rPr>
                <w:rFonts w:hint="eastAsia" w:ascii="微软雅黑" w:hAnsi="微软雅黑" w:eastAsia="微软雅黑" w:cs="微软雅黑"/>
                <w:b w:val="0"/>
                <w:sz w:val="20"/>
              </w:rPr>
              <w:t>农用柴油使用量</w:t>
            </w:r>
          </w:p>
        </w:tc>
        <w:tc>
          <w:tcPr>
            <w:tcW w:w="1000" w:type="pct"/>
            <w:vAlign w:val="center"/>
          </w:tcPr>
          <w:p w14:paraId="479713BD">
            <w:pPr>
              <w:jc w:val="center"/>
              <w:rPr>
                <w:rFonts w:hint="eastAsia" w:ascii="微软雅黑" w:hAnsi="微软雅黑" w:eastAsia="微软雅黑" w:cs="微软雅黑"/>
              </w:rPr>
            </w:pPr>
            <w:r>
              <w:rPr>
                <w:rFonts w:hint="eastAsia" w:ascii="微软雅黑" w:hAnsi="微软雅黑" w:eastAsia="微软雅黑" w:cs="微软雅黑"/>
                <w:b w:val="0"/>
                <w:sz w:val="20"/>
              </w:rPr>
              <w:t>吨</w:t>
            </w:r>
          </w:p>
        </w:tc>
        <w:tc>
          <w:tcPr>
            <w:tcW w:w="1000" w:type="pct"/>
            <w:vAlign w:val="center"/>
          </w:tcPr>
          <w:p w14:paraId="0A1D03A9">
            <w:pPr>
              <w:jc w:val="center"/>
              <w:rPr>
                <w:rFonts w:hint="eastAsia" w:ascii="微软雅黑" w:hAnsi="微软雅黑" w:eastAsia="微软雅黑" w:cs="微软雅黑"/>
              </w:rPr>
            </w:pPr>
            <w:r>
              <w:rPr>
                <w:rFonts w:hint="eastAsia" w:ascii="微软雅黑" w:hAnsi="微软雅黑" w:eastAsia="微软雅黑" w:cs="微软雅黑"/>
                <w:b w:val="0"/>
                <w:sz w:val="20"/>
              </w:rPr>
              <w:t>正</w:t>
            </w:r>
          </w:p>
        </w:tc>
      </w:tr>
      <w:tr w14:paraId="5CEE0009">
        <w:tblPrEx>
          <w:tblBorders>
            <w:top w:val="single" w:color="B7C3D0" w:sz="8" w:space="0"/>
            <w:left w:val="single" w:color="B7C3D0" w:sz="8" w:space="0"/>
            <w:bottom w:val="single" w:color="B7C3D0" w:sz="8" w:space="0"/>
            <w:right w:val="single" w:color="B7C3D0" w:sz="8" w:space="0"/>
            <w:insideH w:val="single" w:color="B7C3D0" w:sz="8" w:space="0"/>
            <w:insideV w:val="single" w:color="B7C3D0" w:sz="8" w:space="0"/>
          </w:tblBorders>
          <w:tblCellMar>
            <w:top w:w="0" w:type="dxa"/>
            <w:left w:w="108" w:type="dxa"/>
            <w:bottom w:w="0" w:type="dxa"/>
            <w:right w:w="108" w:type="dxa"/>
          </w:tblCellMar>
        </w:tblPrEx>
        <w:trPr>
          <w:jc w:val="center"/>
        </w:trPr>
        <w:tc>
          <w:tcPr>
            <w:tcW w:w="999" w:type="pct"/>
            <w:vAlign w:val="center"/>
          </w:tcPr>
          <w:p w14:paraId="7AC5BFBC">
            <w:pPr>
              <w:jc w:val="center"/>
              <w:rPr>
                <w:rFonts w:hint="eastAsia" w:ascii="微软雅黑" w:hAnsi="微软雅黑" w:eastAsia="微软雅黑" w:cs="微软雅黑"/>
              </w:rPr>
            </w:pPr>
            <w:r>
              <w:rPr>
                <w:rFonts w:hint="eastAsia" w:ascii="微软雅黑" w:hAnsi="微软雅黑" w:eastAsia="微软雅黑" w:cs="微软雅黑"/>
                <w:b w:val="0"/>
                <w:sz w:val="20"/>
              </w:rPr>
              <w:t>气候变量</w:t>
            </w:r>
          </w:p>
        </w:tc>
        <w:tc>
          <w:tcPr>
            <w:tcW w:w="1000" w:type="pct"/>
            <w:vAlign w:val="center"/>
          </w:tcPr>
          <w:p w14:paraId="75FFBEED">
            <w:pPr>
              <w:jc w:val="center"/>
              <w:rPr>
                <w:rFonts w:hint="eastAsia" w:ascii="微软雅黑" w:hAnsi="微软雅黑" w:eastAsia="微软雅黑" w:cs="微软雅黑"/>
              </w:rPr>
            </w:pPr>
            <w:r>
              <w:rPr>
                <w:rFonts w:hint="eastAsia" w:ascii="微软雅黑" w:hAnsi="微软雅黑" w:eastAsia="微软雅黑" w:cs="微软雅黑"/>
                <w:b w:val="0"/>
                <w:sz w:val="20"/>
              </w:rPr>
              <w:t>X7</w:t>
            </w:r>
          </w:p>
        </w:tc>
        <w:tc>
          <w:tcPr>
            <w:tcW w:w="1000" w:type="pct"/>
            <w:vAlign w:val="center"/>
          </w:tcPr>
          <w:p w14:paraId="7905175A">
            <w:pPr>
              <w:jc w:val="center"/>
              <w:rPr>
                <w:rFonts w:hint="eastAsia" w:ascii="微软雅黑" w:hAnsi="微软雅黑" w:eastAsia="微软雅黑" w:cs="微软雅黑"/>
              </w:rPr>
            </w:pPr>
            <w:r>
              <w:rPr>
                <w:rFonts w:hint="eastAsia" w:ascii="微软雅黑" w:hAnsi="微软雅黑" w:eastAsia="微软雅黑" w:cs="微软雅黑"/>
                <w:b w:val="0"/>
                <w:sz w:val="20"/>
              </w:rPr>
              <w:t>年平均气温</w:t>
            </w:r>
          </w:p>
        </w:tc>
        <w:tc>
          <w:tcPr>
            <w:tcW w:w="1000" w:type="pct"/>
            <w:vAlign w:val="center"/>
          </w:tcPr>
          <w:p w14:paraId="0C2351B8">
            <w:pPr>
              <w:jc w:val="center"/>
              <w:rPr>
                <w:rFonts w:hint="eastAsia" w:ascii="微软雅黑" w:hAnsi="微软雅黑" w:eastAsia="微软雅黑" w:cs="微软雅黑"/>
              </w:rPr>
            </w:pPr>
            <w:r>
              <w:rPr>
                <w:rFonts w:hint="eastAsia" w:ascii="微软雅黑" w:hAnsi="微软雅黑" w:eastAsia="微软雅黑" w:cs="微软雅黑"/>
                <w:b w:val="0"/>
                <w:sz w:val="20"/>
              </w:rPr>
              <w:t>℃</w:t>
            </w:r>
          </w:p>
        </w:tc>
        <w:tc>
          <w:tcPr>
            <w:tcW w:w="1000" w:type="pct"/>
            <w:vAlign w:val="center"/>
          </w:tcPr>
          <w:p w14:paraId="5D7D9040">
            <w:pPr>
              <w:jc w:val="center"/>
              <w:rPr>
                <w:rFonts w:hint="eastAsia" w:ascii="微软雅黑" w:hAnsi="微软雅黑" w:eastAsia="微软雅黑" w:cs="微软雅黑"/>
              </w:rPr>
            </w:pPr>
            <w:r>
              <w:rPr>
                <w:rFonts w:hint="eastAsia" w:ascii="微软雅黑" w:hAnsi="微软雅黑" w:eastAsia="微软雅黑" w:cs="微软雅黑"/>
                <w:b w:val="0"/>
                <w:sz w:val="20"/>
              </w:rPr>
              <w:t>正</w:t>
            </w:r>
          </w:p>
        </w:tc>
      </w:tr>
      <w:tr w14:paraId="18D7F324">
        <w:tblPrEx>
          <w:tblBorders>
            <w:top w:val="single" w:color="B7C3D0" w:sz="8" w:space="0"/>
            <w:left w:val="single" w:color="B7C3D0" w:sz="8" w:space="0"/>
            <w:bottom w:val="single" w:color="B7C3D0" w:sz="8" w:space="0"/>
            <w:right w:val="single" w:color="B7C3D0" w:sz="8" w:space="0"/>
            <w:insideH w:val="single" w:color="B7C3D0" w:sz="8" w:space="0"/>
            <w:insideV w:val="single" w:color="B7C3D0" w:sz="8" w:space="0"/>
          </w:tblBorders>
          <w:tblCellMar>
            <w:top w:w="0" w:type="dxa"/>
            <w:left w:w="108" w:type="dxa"/>
            <w:bottom w:w="0" w:type="dxa"/>
            <w:right w:w="108" w:type="dxa"/>
          </w:tblCellMar>
        </w:tblPrEx>
        <w:trPr>
          <w:jc w:val="center"/>
        </w:trPr>
        <w:tc>
          <w:tcPr>
            <w:tcW w:w="999" w:type="pct"/>
            <w:vAlign w:val="center"/>
          </w:tcPr>
          <w:p w14:paraId="3AF9F65D">
            <w:pPr>
              <w:jc w:val="center"/>
              <w:rPr>
                <w:rFonts w:hint="eastAsia" w:ascii="微软雅黑" w:hAnsi="微软雅黑" w:eastAsia="微软雅黑" w:cs="微软雅黑"/>
              </w:rPr>
            </w:pPr>
            <w:r>
              <w:rPr>
                <w:rFonts w:hint="eastAsia" w:ascii="微软雅黑" w:hAnsi="微软雅黑" w:eastAsia="微软雅黑" w:cs="微软雅黑"/>
                <w:b w:val="0"/>
                <w:sz w:val="20"/>
              </w:rPr>
              <w:t>气候变量</w:t>
            </w:r>
          </w:p>
        </w:tc>
        <w:tc>
          <w:tcPr>
            <w:tcW w:w="1000" w:type="pct"/>
            <w:vAlign w:val="center"/>
          </w:tcPr>
          <w:p w14:paraId="1ED36102">
            <w:pPr>
              <w:jc w:val="center"/>
              <w:rPr>
                <w:rFonts w:hint="eastAsia" w:ascii="微软雅黑" w:hAnsi="微软雅黑" w:eastAsia="微软雅黑" w:cs="微软雅黑"/>
              </w:rPr>
            </w:pPr>
            <w:r>
              <w:rPr>
                <w:rFonts w:hint="eastAsia" w:ascii="微软雅黑" w:hAnsi="微软雅黑" w:eastAsia="微软雅黑" w:cs="微软雅黑"/>
                <w:b w:val="0"/>
                <w:sz w:val="20"/>
              </w:rPr>
              <w:t>X8</w:t>
            </w:r>
          </w:p>
        </w:tc>
        <w:tc>
          <w:tcPr>
            <w:tcW w:w="1000" w:type="pct"/>
            <w:vAlign w:val="center"/>
          </w:tcPr>
          <w:p w14:paraId="306FAF39">
            <w:pPr>
              <w:jc w:val="center"/>
              <w:rPr>
                <w:rFonts w:hint="eastAsia" w:ascii="微软雅黑" w:hAnsi="微软雅黑" w:eastAsia="微软雅黑" w:cs="微软雅黑"/>
              </w:rPr>
            </w:pPr>
            <w:r>
              <w:rPr>
                <w:rFonts w:hint="eastAsia" w:ascii="微软雅黑" w:hAnsi="微软雅黑" w:eastAsia="微软雅黑" w:cs="微软雅黑"/>
                <w:b w:val="0"/>
                <w:sz w:val="20"/>
              </w:rPr>
              <w:t>年降水量</w:t>
            </w:r>
          </w:p>
        </w:tc>
        <w:tc>
          <w:tcPr>
            <w:tcW w:w="1000" w:type="pct"/>
            <w:vAlign w:val="center"/>
          </w:tcPr>
          <w:p w14:paraId="5AC2850E">
            <w:pPr>
              <w:jc w:val="center"/>
              <w:rPr>
                <w:rFonts w:hint="eastAsia" w:ascii="微软雅黑" w:hAnsi="微软雅黑" w:eastAsia="微软雅黑" w:cs="微软雅黑"/>
              </w:rPr>
            </w:pPr>
            <w:r>
              <w:rPr>
                <w:rFonts w:hint="eastAsia" w:ascii="微软雅黑" w:hAnsi="微软雅黑" w:eastAsia="微软雅黑" w:cs="微软雅黑"/>
                <w:b w:val="0"/>
                <w:sz w:val="20"/>
              </w:rPr>
              <w:t>mm</w:t>
            </w:r>
          </w:p>
        </w:tc>
        <w:tc>
          <w:tcPr>
            <w:tcW w:w="1000" w:type="pct"/>
            <w:vAlign w:val="center"/>
          </w:tcPr>
          <w:p w14:paraId="004001FD">
            <w:pPr>
              <w:jc w:val="center"/>
              <w:rPr>
                <w:rFonts w:hint="eastAsia" w:ascii="微软雅黑" w:hAnsi="微软雅黑" w:eastAsia="微软雅黑" w:cs="微软雅黑"/>
              </w:rPr>
            </w:pPr>
            <w:r>
              <w:rPr>
                <w:rFonts w:hint="eastAsia" w:ascii="微软雅黑" w:hAnsi="微软雅黑" w:eastAsia="微软雅黑" w:cs="微软雅黑"/>
                <w:b w:val="0"/>
                <w:sz w:val="20"/>
              </w:rPr>
              <w:t>正</w:t>
            </w:r>
          </w:p>
        </w:tc>
      </w:tr>
    </w:tbl>
    <w:p w14:paraId="4DCC97BC">
      <w:pPr>
        <w:pStyle w:val="3"/>
        <w:keepNext/>
        <w:widowControl/>
        <w:numPr>
          <w:ilvl w:val="0"/>
          <w:numId w:val="0"/>
        </w:numPr>
        <w:topLinePunct w:val="0"/>
        <w:ind w:leftChars="0"/>
        <w:rPr>
          <w:rFonts w:hint="eastAsia" w:ascii="黑体" w:hAnsi="黑体" w:eastAsia="黑体" w:cs="黑体"/>
          <w:b w:val="0"/>
        </w:rPr>
      </w:pPr>
      <w:bookmarkStart w:id="14" w:name="_Toc18026"/>
      <w:bookmarkStart w:id="15" w:name="_Toc5833"/>
      <w:r>
        <w:rPr>
          <w:rFonts w:hint="eastAsia"/>
          <w:lang w:eastAsia="zh-CN"/>
        </w:rPr>
        <w:t>三、</w:t>
      </w:r>
      <w:r>
        <w:t>研究方法与模型构建</w:t>
      </w:r>
      <w:bookmarkEnd w:id="14"/>
      <w:bookmarkEnd w:id="15"/>
    </w:p>
    <w:p w14:paraId="4FE2B1C0">
      <w:pPr>
        <w:pStyle w:val="4"/>
        <w:keepNext/>
        <w:widowControl/>
        <w:numPr>
          <w:ilvl w:val="0"/>
          <w:numId w:val="0"/>
        </w:numPr>
        <w:topLinePunct w:val="0"/>
        <w:ind w:leftChars="0"/>
        <w:rPr>
          <w:rFonts w:hint="eastAsia" w:ascii="楷体" w:hAnsi="楷体" w:eastAsia="楷体" w:cs="楷体"/>
          <w:b w:val="0"/>
        </w:rPr>
      </w:pPr>
      <w:bookmarkStart w:id="16" w:name="_Toc22924"/>
      <w:bookmarkStart w:id="17" w:name="_Toc15121"/>
      <w:r>
        <w:rPr>
          <w:rFonts w:hint="eastAsia"/>
          <w:lang w:eastAsia="zh-CN"/>
        </w:rPr>
        <w:t>（一）</w:t>
      </w:r>
      <w:r>
        <w:t>农业碳排放核算模型</w:t>
      </w:r>
      <w:bookmarkEnd w:id="16"/>
      <w:bookmarkEnd w:id="17"/>
    </w:p>
    <w:p w14:paraId="7E85FAA2">
      <w:pPr>
        <w:pStyle w:val="19"/>
        <w:widowControl/>
        <w:rPr>
          <w:rFonts w:ascii="Times New Roman" w:hAnsi="Calibri" w:eastAsia="宋体" w:cs="Times New Roman"/>
          <w:sz w:val="24"/>
        </w:rPr>
      </w:pPr>
      <w:r>
        <w:rPr>
          <w:rFonts w:ascii="Times New Roman" w:hAnsi="Calibri" w:eastAsia="宋体" w:cs="Times New Roman"/>
          <w:b w:val="0"/>
          <w:sz w:val="24"/>
        </w:rPr>
        <w:t>本文沿用初稿的分项核算思路，将农业碳排放划分为农业投入品隐含碳排放、稻田甲烷排放、农业能源消耗排放和土壤碳汇四部分。为避免原稿公式字符在不同软件中出现乱码，本次修订统一采用规范数学公式重写，并在符号说明中保持与正文一致。</w:t>
      </w:r>
    </w:p>
    <w:p w14:paraId="38D9F827">
      <w:pPr>
        <w:spacing w:before="40" w:after="60"/>
        <w:ind w:firstLine="0"/>
        <w:jc w:val="cente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4679950" cy="4616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6"/>
                    <a:stretch>
                      <a:fillRect/>
                    </a:stretch>
                  </pic:blipFill>
                  <pic:spPr>
                    <a:xfrm>
                      <a:off x="0" y="0"/>
                      <a:ext cx="4680000" cy="462222"/>
                    </a:xfrm>
                    <a:prstGeom prst="rect">
                      <a:avLst/>
                    </a:prstGeom>
                  </pic:spPr>
                </pic:pic>
              </a:graphicData>
            </a:graphic>
          </wp:inline>
        </w:drawing>
      </w:r>
    </w:p>
    <w:p w14:paraId="7330CB96">
      <w:pPr>
        <w:pStyle w:val="19"/>
        <w:widowControl/>
        <w:rPr>
          <w:rFonts w:ascii="Times New Roman" w:hAnsi="Calibri" w:eastAsia="宋体" w:cs="Times New Roman"/>
          <w:sz w:val="24"/>
        </w:rPr>
      </w:pPr>
      <w:r>
        <w:rPr>
          <w:rFonts w:ascii="Times New Roman" w:hAnsi="Calibri" w:eastAsia="宋体" w:cs="Times New Roman"/>
          <w:b w:val="0"/>
          <w:sz w:val="24"/>
        </w:rPr>
        <w:t>其中，Et 表示第 t 年农业碳排放净量，Einput 表示农业投入品隐含碳排放，ECH4 表示稻田甲烷折算的二氧化碳当量，Eenergy 表示农业能源消耗排放，Ssoil 表示土壤碳汇量或土壤碳库增量。</w:t>
      </w:r>
    </w:p>
    <w:p w14:paraId="03480875">
      <w:pPr>
        <w:spacing w:before="40" w:after="60"/>
        <w:ind w:firstLine="0"/>
        <w:jc w:val="cente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3959860" cy="493395"/>
            <wp:effectExtent l="0" t="0" r="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7"/>
                    <a:stretch>
                      <a:fillRect/>
                    </a:stretch>
                  </pic:blipFill>
                  <pic:spPr>
                    <a:xfrm>
                      <a:off x="0" y="0"/>
                      <a:ext cx="3960000" cy="493778"/>
                    </a:xfrm>
                    <a:prstGeom prst="rect">
                      <a:avLst/>
                    </a:prstGeom>
                  </pic:spPr>
                </pic:pic>
              </a:graphicData>
            </a:graphic>
          </wp:inline>
        </w:drawing>
      </w:r>
    </w:p>
    <w:p w14:paraId="69D76B86">
      <w:pPr>
        <w:pStyle w:val="19"/>
        <w:widowControl/>
        <w:rPr>
          <w:rFonts w:ascii="Times New Roman" w:hAnsi="Calibri" w:eastAsia="宋体" w:cs="Times New Roman"/>
          <w:sz w:val="24"/>
        </w:rPr>
      </w:pPr>
      <w:r>
        <w:rPr>
          <w:rFonts w:ascii="Times New Roman" w:hAnsi="Calibri" w:eastAsia="宋体" w:cs="Times New Roman"/>
          <w:b w:val="0"/>
          <w:sz w:val="24"/>
        </w:rPr>
        <w:t>式中，Xmt 表示第 t 年第 m 类农业投入品使用量，δm 表示相应碳排放系数。若后续能补齐氮肥、磷肥、钾肥和复合肥分类数据，可进一步分项核算。</w:t>
      </w:r>
    </w:p>
    <w:p w14:paraId="626C7041">
      <w:pPr>
        <w:spacing w:before="40" w:after="60"/>
        <w:ind w:firstLine="0"/>
        <w:jc w:val="cente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4859655" cy="4794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8"/>
                    <a:stretch>
                      <a:fillRect/>
                    </a:stretch>
                  </pic:blipFill>
                  <pic:spPr>
                    <a:xfrm>
                      <a:off x="0" y="0"/>
                      <a:ext cx="4860000" cy="480000"/>
                    </a:xfrm>
                    <a:prstGeom prst="rect">
                      <a:avLst/>
                    </a:prstGeom>
                  </pic:spPr>
                </pic:pic>
              </a:graphicData>
            </a:graphic>
          </wp:inline>
        </w:drawing>
      </w:r>
    </w:p>
    <w:p w14:paraId="10E058EB">
      <w:pPr>
        <w:pStyle w:val="19"/>
        <w:widowControl/>
        <w:rPr>
          <w:rFonts w:ascii="Times New Roman" w:hAnsi="Calibri" w:eastAsia="宋体" w:cs="Times New Roman"/>
          <w:sz w:val="24"/>
        </w:rPr>
      </w:pPr>
      <w:r>
        <w:rPr>
          <w:rFonts w:ascii="Times New Roman" w:hAnsi="Calibri" w:eastAsia="宋体" w:cs="Times New Roman"/>
          <w:b w:val="0"/>
          <w:sz w:val="24"/>
        </w:rPr>
        <w:t>其中，At 为水稻种植面积，EFRGS 与 EFnonRGS 分别表示水稻生长季和非水稻生长季单位面积甲烷排放量，GWPCH4 为甲烷全球增温潜势。正式提交时应在全文中统一采用同一版 IPCC 口径。</w:t>
      </w:r>
    </w:p>
    <w:p w14:paraId="3CE444DE">
      <w:pPr>
        <w:spacing w:before="0" w:after="60"/>
        <w:ind w:firstLine="0"/>
        <w:jc w:val="cente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3959860" cy="496570"/>
            <wp:effectExtent l="0" t="0" r="0" b="1143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9"/>
                    <a:stretch>
                      <a:fillRect/>
                    </a:stretch>
                  </pic:blipFill>
                  <pic:spPr>
                    <a:xfrm>
                      <a:off x="0" y="0"/>
                      <a:ext cx="3960000" cy="497037"/>
                    </a:xfrm>
                    <a:prstGeom prst="rect">
                      <a:avLst/>
                    </a:prstGeom>
                  </pic:spPr>
                </pic:pic>
              </a:graphicData>
            </a:graphic>
          </wp:inline>
        </w:drawing>
      </w:r>
    </w:p>
    <w:p w14:paraId="163FE5A0">
      <w:pPr>
        <w:spacing w:before="40" w:after="60"/>
        <w:ind w:firstLine="0"/>
        <w:jc w:val="cente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3779520" cy="3727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0"/>
                    <a:stretch>
                      <a:fillRect/>
                    </a:stretch>
                  </pic:blipFill>
                  <pic:spPr>
                    <a:xfrm>
                      <a:off x="0" y="0"/>
                      <a:ext cx="3780000" cy="373333"/>
                    </a:xfrm>
                    <a:prstGeom prst="rect">
                      <a:avLst/>
                    </a:prstGeom>
                  </pic:spPr>
                </pic:pic>
              </a:graphicData>
            </a:graphic>
          </wp:inline>
        </w:drawing>
      </w:r>
    </w:p>
    <w:p w14:paraId="03AC3338">
      <w:pPr>
        <w:pStyle w:val="19"/>
        <w:widowControl/>
        <w:rPr>
          <w:rFonts w:ascii="Times New Roman" w:hAnsi="Calibri" w:eastAsia="宋体" w:cs="Times New Roman"/>
          <w:sz w:val="24"/>
        </w:rPr>
      </w:pPr>
      <w:r>
        <w:rPr>
          <w:rFonts w:ascii="Times New Roman" w:hAnsi="Calibri" w:eastAsia="宋体" w:cs="Times New Roman"/>
          <w:b w:val="0"/>
          <w:sz w:val="24"/>
        </w:rPr>
        <w:t>其中，Fkt 为第 k 类农业能源消费量，EFk 为相应排放系数；Ct 为第 t 年土壤有机碳储量。当 Ssoil 大于 0 时，表示土壤系统表现为净碳汇。</w:t>
      </w:r>
    </w:p>
    <w:p w14:paraId="6F6FB3DC">
      <w:pPr>
        <w:pStyle w:val="4"/>
        <w:keepNext/>
        <w:widowControl/>
        <w:numPr>
          <w:ilvl w:val="0"/>
          <w:numId w:val="0"/>
        </w:numPr>
        <w:topLinePunct w:val="0"/>
        <w:ind w:leftChars="0"/>
        <w:rPr>
          <w:rFonts w:hint="eastAsia" w:ascii="楷体" w:hAnsi="楷体" w:eastAsia="楷体" w:cs="楷体"/>
          <w:b w:val="0"/>
        </w:rPr>
      </w:pPr>
      <w:bookmarkStart w:id="18" w:name="_Toc22690"/>
      <w:bookmarkStart w:id="19" w:name="_Toc491"/>
      <w:r>
        <w:rPr>
          <w:rFonts w:hint="eastAsia"/>
          <w:lang w:eastAsia="zh-CN"/>
        </w:rPr>
        <w:t>（二）</w:t>
      </w:r>
      <w:r>
        <w:t>本地化参数修正</w:t>
      </w:r>
      <w:bookmarkEnd w:id="18"/>
      <w:bookmarkEnd w:id="19"/>
    </w:p>
    <w:p w14:paraId="2D1E933F">
      <w:pPr>
        <w:pStyle w:val="19"/>
        <w:widowControl/>
        <w:rPr>
          <w:rFonts w:ascii="Times New Roman" w:hAnsi="Calibri" w:eastAsia="宋体" w:cs="Times New Roman"/>
          <w:sz w:val="24"/>
        </w:rPr>
      </w:pPr>
      <w:r>
        <w:rPr>
          <w:rFonts w:ascii="Times New Roman" w:hAnsi="Calibri" w:eastAsia="宋体" w:cs="Times New Roman"/>
          <w:b w:val="0"/>
          <w:sz w:val="24"/>
        </w:rPr>
        <w:t>经核验，《气象科学》2025 年论文基于寿县 2019 年 11 月至 2020 年 10 月涡度协方差观测，给出全年 CH4 通量约 20.52 g·m⁻²、水稻生育期约 15.71 g·m⁻²；Journal of Integrative Agriculture 2024 进一步报告了 2019—2021 年观测下水稻生长季总 CH4 通量约 23.9 g·m⁻²、非水稻生长季约 3.2 g·m⁻²。本文正式核算建议优先采用分季参数，并以中文论文结果作交叉校验。</w:t>
      </w:r>
    </w:p>
    <w:p w14:paraId="57CB0FE4">
      <w:pPr>
        <w:pStyle w:val="4"/>
        <w:keepNext/>
        <w:widowControl/>
        <w:numPr>
          <w:ilvl w:val="0"/>
          <w:numId w:val="0"/>
        </w:numPr>
        <w:topLinePunct w:val="0"/>
        <w:ind w:leftChars="0"/>
        <w:rPr>
          <w:b w:val="0"/>
        </w:rPr>
      </w:pPr>
      <w:bookmarkStart w:id="20" w:name="_Toc30255"/>
      <w:bookmarkStart w:id="21" w:name="_Toc26275"/>
      <w:r>
        <w:rPr>
          <w:rFonts w:hint="eastAsia"/>
          <w:lang w:eastAsia="zh-CN"/>
        </w:rPr>
        <w:t>（三）</w:t>
      </w:r>
      <w:r>
        <w:t>K-means聚类识别热点区域</w:t>
      </w:r>
      <w:bookmarkEnd w:id="20"/>
      <w:bookmarkEnd w:id="21"/>
    </w:p>
    <w:p w14:paraId="54E6731A">
      <w:pPr>
        <w:pStyle w:val="19"/>
        <w:widowControl/>
        <w:rPr>
          <w:rFonts w:ascii="Times New Roman" w:hAnsi="Calibri" w:eastAsia="宋体" w:cs="Times New Roman"/>
          <w:sz w:val="24"/>
        </w:rPr>
      </w:pPr>
      <w:r>
        <w:rPr>
          <w:rFonts w:ascii="Times New Roman" w:hAnsi="Calibri" w:eastAsia="宋体" w:cs="Times New Roman"/>
          <w:b w:val="0"/>
          <w:sz w:val="24"/>
        </w:rPr>
        <w:t>在乡镇尺度空间识别中，本文以农业碳排放量和碳排放强度为双变量，采用 K-means 算法对寿县乡镇进行分型。该方法能够将高排放—高强度、中排放—中强度和低排放—低强度区域加以区分，以支持差异化治理。其优化目标函数可写为：</w:t>
      </w:r>
    </w:p>
    <w:p w14:paraId="125CCD6A">
      <w:pPr>
        <w:spacing w:before="40" w:after="60"/>
        <w:ind w:firstLine="0"/>
        <w:jc w:val="cente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4139565" cy="537845"/>
            <wp:effectExtent l="0" t="0" r="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1"/>
                    <a:stretch>
                      <a:fillRect/>
                    </a:stretch>
                  </pic:blipFill>
                  <pic:spPr>
                    <a:xfrm>
                      <a:off x="0" y="0"/>
                      <a:ext cx="4140000" cy="538370"/>
                    </a:xfrm>
                    <a:prstGeom prst="rect">
                      <a:avLst/>
                    </a:prstGeom>
                  </pic:spPr>
                </pic:pic>
              </a:graphicData>
            </a:graphic>
          </wp:inline>
        </w:drawing>
      </w:r>
    </w:p>
    <w:p w14:paraId="1F839CA1">
      <w:pPr>
        <w:pStyle w:val="19"/>
        <w:widowControl/>
        <w:rPr>
          <w:rFonts w:ascii="Times New Roman" w:hAnsi="Calibri" w:eastAsia="宋体" w:cs="Times New Roman"/>
          <w:sz w:val="24"/>
        </w:rPr>
      </w:pPr>
      <w:r>
        <w:rPr>
          <w:rFonts w:ascii="Times New Roman" w:hAnsi="Calibri" w:eastAsia="宋体" w:cs="Times New Roman"/>
          <w:b w:val="0"/>
          <w:sz w:val="24"/>
        </w:rPr>
        <w:t>其中，Ck 为第 k 类样本集合，μk 为该类中心，K 为预设类别数。</w:t>
      </w:r>
    </w:p>
    <w:p w14:paraId="63D08499">
      <w:pPr>
        <w:pStyle w:val="4"/>
        <w:keepNext/>
        <w:widowControl/>
        <w:numPr>
          <w:ilvl w:val="0"/>
          <w:numId w:val="0"/>
        </w:numPr>
        <w:topLinePunct w:val="0"/>
        <w:ind w:leftChars="0"/>
        <w:rPr>
          <w:rFonts w:hint="eastAsia" w:ascii="楷体" w:hAnsi="楷体" w:eastAsia="楷体" w:cs="楷体"/>
          <w:b w:val="0"/>
        </w:rPr>
      </w:pPr>
      <w:bookmarkStart w:id="22" w:name="_Toc14000"/>
      <w:bookmarkStart w:id="23" w:name="_Toc22831"/>
      <w:r>
        <w:rPr>
          <w:rFonts w:hint="eastAsia"/>
          <w:lang w:eastAsia="zh-CN"/>
        </w:rPr>
        <w:t>（四）</w:t>
      </w:r>
      <w:r>
        <w:t>随机森林与SHAP解释模型</w:t>
      </w:r>
      <w:bookmarkEnd w:id="22"/>
      <w:bookmarkEnd w:id="23"/>
    </w:p>
    <w:p w14:paraId="3EB3A67C">
      <w:pPr>
        <w:pStyle w:val="19"/>
        <w:widowControl/>
        <w:rPr>
          <w:rFonts w:ascii="Times New Roman" w:hAnsi="Calibri" w:eastAsia="宋体" w:cs="Times New Roman"/>
          <w:sz w:val="24"/>
        </w:rPr>
      </w:pPr>
      <w:r>
        <w:rPr>
          <w:rFonts w:ascii="Times New Roman" w:hAnsi="Calibri" w:eastAsia="宋体" w:cs="Times New Roman"/>
          <w:b w:val="0"/>
          <w:sz w:val="24"/>
        </w:rPr>
        <w:t>针对农业碳排放影响因素识别，初稿采用随机森林并结合 SHAP 值解释。该思路在近年碳排放研究中较为常见，优点是能够处理非线性和变量间交互关系，同时保留较好的解释性。随机森林回归的预测形式为：</w:t>
      </w:r>
    </w:p>
    <w:p w14:paraId="54D19739">
      <w:pPr>
        <w:spacing w:before="40" w:after="60"/>
        <w:ind w:firstLine="0"/>
        <w:jc w:val="cente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4139565" cy="5207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2"/>
                    <a:stretch>
                      <a:fillRect/>
                    </a:stretch>
                  </pic:blipFill>
                  <pic:spPr>
                    <a:xfrm>
                      <a:off x="0" y="0"/>
                      <a:ext cx="4140000" cy="521333"/>
                    </a:xfrm>
                    <a:prstGeom prst="rect">
                      <a:avLst/>
                    </a:prstGeom>
                  </pic:spPr>
                </pic:pic>
              </a:graphicData>
            </a:graphic>
          </wp:inline>
        </w:drawing>
      </w:r>
    </w:p>
    <w:p w14:paraId="1C02DF4A">
      <w:pPr>
        <w:pStyle w:val="19"/>
        <w:widowControl/>
        <w:rPr>
          <w:rFonts w:ascii="Times New Roman" w:hAnsi="Calibri" w:eastAsia="宋体" w:cs="Times New Roman"/>
          <w:sz w:val="24"/>
        </w:rPr>
      </w:pPr>
      <w:r>
        <w:rPr>
          <w:rFonts w:ascii="Times New Roman" w:hAnsi="Calibri" w:eastAsia="宋体" w:cs="Times New Roman"/>
          <w:b w:val="0"/>
          <w:sz w:val="24"/>
        </w:rPr>
        <w:t>其中，Tb(·) 为第 b 棵回归树的预测结果，B 为树的数量。SHAP 值用于衡量某一特征对预测结果的边际贡献，其一般表达式为：</w:t>
      </w:r>
    </w:p>
    <w:p w14:paraId="0D52FAD9">
      <w:pPr>
        <w:pageBreakBefore/>
        <w:spacing w:before="40" w:after="60"/>
        <w:ind w:firstLine="0"/>
        <w:jc w:val="cente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19700" cy="55816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3"/>
                    <a:stretch>
                      <a:fillRect/>
                    </a:stretch>
                  </pic:blipFill>
                  <pic:spPr>
                    <a:xfrm>
                      <a:off x="0" y="0"/>
                      <a:ext cx="5220000" cy="558519"/>
                    </a:xfrm>
                    <a:prstGeom prst="rect">
                      <a:avLst/>
                    </a:prstGeom>
                  </pic:spPr>
                </pic:pic>
              </a:graphicData>
            </a:graphic>
          </wp:inline>
        </w:drawing>
      </w:r>
    </w:p>
    <w:p w14:paraId="7C0302C0">
      <w:pPr>
        <w:pStyle w:val="19"/>
        <w:widowControl/>
        <w:rPr>
          <w:rFonts w:ascii="Times New Roman" w:hAnsi="Calibri" w:eastAsia="宋体" w:cs="Times New Roman"/>
          <w:sz w:val="24"/>
        </w:rPr>
      </w:pPr>
      <w:r>
        <w:rPr>
          <w:rFonts w:ascii="Times New Roman" w:hAnsi="Calibri" w:eastAsia="宋体" w:cs="Times New Roman"/>
          <w:b w:val="0"/>
          <w:sz w:val="24"/>
        </w:rPr>
        <w:t>当 SHAP 绝对值越大，表明该变量对农业碳排放预测的影响越强。</w:t>
      </w:r>
    </w:p>
    <w:p w14:paraId="09101FFE">
      <w:pPr>
        <w:pStyle w:val="4"/>
        <w:keepNext/>
        <w:widowControl/>
        <w:numPr>
          <w:ilvl w:val="0"/>
          <w:numId w:val="0"/>
        </w:numPr>
        <w:topLinePunct w:val="0"/>
        <w:ind w:leftChars="0"/>
        <w:rPr>
          <w:b w:val="0"/>
        </w:rPr>
      </w:pPr>
      <w:bookmarkStart w:id="24" w:name="_Toc3534"/>
      <w:bookmarkStart w:id="25" w:name="_Toc6394"/>
      <w:r>
        <w:rPr>
          <w:rFonts w:hint="eastAsia"/>
          <w:lang w:eastAsia="zh-CN"/>
        </w:rPr>
        <w:t>（五）</w:t>
      </w:r>
      <w:r>
        <w:t>LEAP情景模拟框架</w:t>
      </w:r>
      <w:bookmarkEnd w:id="24"/>
      <w:bookmarkEnd w:id="25"/>
    </w:p>
    <w:p w14:paraId="4252AD2F">
      <w:pPr>
        <w:pStyle w:val="19"/>
        <w:widowControl/>
        <w:rPr>
          <w:rFonts w:ascii="Times New Roman" w:hAnsi="Calibri" w:eastAsia="宋体" w:cs="Times New Roman"/>
          <w:sz w:val="24"/>
        </w:rPr>
      </w:pPr>
      <w:r>
        <w:rPr>
          <w:rFonts w:ascii="Times New Roman" w:hAnsi="Calibri" w:eastAsia="宋体" w:cs="Times New Roman"/>
          <w:b w:val="0"/>
          <w:sz w:val="24"/>
        </w:rPr>
        <w:t>LEAP 模型的核心思想是基于基准年排放清单与活动水平假设，对不同情景下未来排放路径进行递推。结合寿县实际，本文采用“基准情景—优化施肥—节水灌溉—秸秆还田—综合情景”的设置。若以 LEAP 思路对情景总排放进行表达，可写为：</w:t>
      </w:r>
    </w:p>
    <w:p w14:paraId="3C5A57DA">
      <w:pPr>
        <w:spacing w:after="60"/>
        <w:ind w:firstLine="0"/>
        <w:jc w:val="cente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4139565" cy="567055"/>
            <wp:effectExtent l="0" t="0" r="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4"/>
                    <a:stretch>
                      <a:fillRect/>
                    </a:stretch>
                  </pic:blipFill>
                  <pic:spPr>
                    <a:xfrm>
                      <a:off x="0" y="0"/>
                      <a:ext cx="4140000" cy="567333"/>
                    </a:xfrm>
                    <a:prstGeom prst="rect">
                      <a:avLst/>
                    </a:prstGeom>
                  </pic:spPr>
                </pic:pic>
              </a:graphicData>
            </a:graphic>
          </wp:inline>
        </w:drawing>
      </w:r>
    </w:p>
    <w:p w14:paraId="18CEF190">
      <w:pPr>
        <w:pStyle w:val="19"/>
        <w:widowControl/>
        <w:rPr>
          <w:rFonts w:ascii="Times New Roman" w:hAnsi="Calibri" w:eastAsia="宋体" w:cs="Times New Roman"/>
          <w:sz w:val="24"/>
        </w:rPr>
      </w:pPr>
      <w:r>
        <w:rPr>
          <w:rFonts w:ascii="Times New Roman" w:hAnsi="Calibri" w:eastAsia="宋体" w:cs="Times New Roman"/>
          <w:b w:val="0"/>
          <w:sz w:val="24"/>
        </w:rPr>
        <w:t>其中，Ets 表示第 t 年情景 s 下的农业碳排放，ADjts 表示第 j 类活动在情景 s 下的活动水平，EFjts 表示对应排放因子或技术校正系数。正式提交时应为每一项情景参数给出来源说明。</w:t>
      </w:r>
    </w:p>
    <w:p w14:paraId="5F63A3AA">
      <w:pPr>
        <w:pStyle w:val="3"/>
        <w:keepNext/>
        <w:widowControl/>
        <w:numPr>
          <w:ilvl w:val="0"/>
          <w:numId w:val="0"/>
        </w:numPr>
        <w:topLinePunct w:val="0"/>
        <w:ind w:leftChars="0"/>
        <w:rPr>
          <w:rFonts w:hint="eastAsia" w:ascii="黑体" w:hAnsi="黑体" w:eastAsia="黑体" w:cs="黑体"/>
          <w:b w:val="0"/>
        </w:rPr>
      </w:pPr>
      <w:bookmarkStart w:id="26" w:name="_Toc26280"/>
      <w:bookmarkStart w:id="27" w:name="_Toc21080"/>
      <w:r>
        <w:rPr>
          <w:rFonts w:hint="eastAsia"/>
          <w:lang w:eastAsia="zh-CN"/>
        </w:rPr>
        <w:t>四、</w:t>
      </w:r>
      <w:r>
        <w:t>农业碳排放核算结果与空间格局分析</w:t>
      </w:r>
      <w:bookmarkEnd w:id="26"/>
      <w:bookmarkEnd w:id="27"/>
    </w:p>
    <w:p w14:paraId="6D8C0D2C">
      <w:pPr>
        <w:pStyle w:val="4"/>
        <w:keepNext/>
        <w:widowControl/>
        <w:numPr>
          <w:ilvl w:val="0"/>
          <w:numId w:val="0"/>
        </w:numPr>
        <w:topLinePunct w:val="0"/>
        <w:ind w:leftChars="0"/>
        <w:rPr>
          <w:rFonts w:hint="eastAsia" w:ascii="楷体" w:hAnsi="楷体" w:eastAsia="楷体" w:cs="楷体"/>
          <w:b w:val="0"/>
        </w:rPr>
      </w:pPr>
      <w:bookmarkStart w:id="28" w:name="_Toc16417"/>
      <w:bookmarkStart w:id="29" w:name="_Toc2047"/>
      <w:r>
        <w:rPr>
          <w:rFonts w:hint="eastAsia"/>
          <w:lang w:eastAsia="zh-CN"/>
        </w:rPr>
        <w:t>（一）</w:t>
      </w:r>
      <w:r>
        <w:t>总量核算结果的正式表述</w:t>
      </w:r>
      <w:bookmarkEnd w:id="28"/>
      <w:bookmarkEnd w:id="29"/>
    </w:p>
    <w:p w14:paraId="3296A0A8">
      <w:pPr>
        <w:pStyle w:val="19"/>
        <w:widowControl/>
        <w:rPr>
          <w:rFonts w:ascii="Times New Roman" w:hAnsi="Calibri" w:eastAsia="宋体" w:cs="Times New Roman"/>
          <w:sz w:val="24"/>
        </w:rPr>
      </w:pPr>
      <w:r>
        <w:rPr>
          <w:rFonts w:ascii="Times New Roman" w:hAnsi="Calibri" w:eastAsia="宋体" w:cs="Times New Roman"/>
          <w:sz w:val="24"/>
        </w:rPr>
        <w:t>根据用户初稿测算，2000—2025年寿县农业碳排放总量呈现“先升后稳”的变化轨迹，2000—2005年平均为58.5万吨CO2e，2016—2020年升至72.3万吨CO2e，2021—2025年稳定在72.0万吨CO2e左右。由于本次修订未取得2000—2025年完整原始活动数据与计算底表，以下表4作为“初稿测算结果整理表”保留，用于展示研究结构和结果表达方式，正式提交前建议依据原始底表复算。</w:t>
      </w:r>
    </w:p>
    <w:tbl>
      <w:tblPr>
        <w:tblStyle w:val="35"/>
        <w:tblW w:w="9502" w:type="dxa"/>
        <w:jc w:val="center"/>
        <w:tblBorders>
          <w:top w:val="none" w:color="B7C3D0" w:sz="8" w:space="0"/>
          <w:left w:val="none" w:color="B7C3D0" w:sz="8" w:space="0"/>
          <w:bottom w:val="none" w:color="B7C3D0" w:sz="8" w:space="0"/>
          <w:right w:val="none" w:color="B7C3D0" w:sz="8" w:space="0"/>
          <w:insideH w:val="none" w:color="B7C3D0" w:sz="8" w:space="0"/>
          <w:insideV w:val="none" w:color="B7C3D0" w:sz="8" w:space="0"/>
        </w:tblBorders>
        <w:tblLayout w:type="autofit"/>
        <w:tblCellMar>
          <w:top w:w="0" w:type="dxa"/>
          <w:left w:w="108" w:type="dxa"/>
          <w:bottom w:w="0" w:type="dxa"/>
          <w:right w:w="108" w:type="dxa"/>
        </w:tblCellMar>
      </w:tblPr>
      <w:tblGrid>
        <w:gridCol w:w="2150"/>
        <w:gridCol w:w="1595"/>
        <w:gridCol w:w="1595"/>
        <w:gridCol w:w="1595"/>
        <w:gridCol w:w="1596"/>
        <w:gridCol w:w="971"/>
      </w:tblGrid>
      <w:tr w14:paraId="5787B39F">
        <w:tblPrEx>
          <w:tblBorders>
            <w:top w:val="none" w:color="B7C3D0" w:sz="8" w:space="0"/>
            <w:left w:val="none" w:color="B7C3D0" w:sz="8" w:space="0"/>
            <w:bottom w:val="none" w:color="B7C3D0" w:sz="8" w:space="0"/>
            <w:right w:val="none" w:color="B7C3D0" w:sz="8" w:space="0"/>
            <w:insideH w:val="none" w:color="B7C3D0" w:sz="8" w:space="0"/>
            <w:insideV w:val="none" w:color="B7C3D0" w:sz="8" w:space="0"/>
          </w:tblBorders>
          <w:tblCellMar>
            <w:top w:w="0" w:type="dxa"/>
            <w:left w:w="108" w:type="dxa"/>
            <w:bottom w:w="0" w:type="dxa"/>
            <w:right w:w="108" w:type="dxa"/>
          </w:tblCellMar>
        </w:tblPrEx>
        <w:trPr>
          <w:trHeight w:val="0" w:hRule="atLeast"/>
          <w:tblHeader/>
          <w:jc w:val="center"/>
        </w:trPr>
        <w:tc>
          <w:tcPr>
            <w:tcW w:w="2150" w:type="dxa"/>
            <w:tcBorders>
              <w:top w:val="single" w:color="auto" w:sz="12" w:space="0"/>
              <w:left w:val="nil"/>
              <w:bottom w:val="nil"/>
              <w:right w:val="nil"/>
            </w:tcBorders>
            <w:shd w:val="clear" w:color="auto" w:fill="D9EAF4"/>
            <w:noWrap w:val="0"/>
            <w:tcMar>
              <w:top w:w="-1" w:type="dxa"/>
              <w:left w:w="-1" w:type="dxa"/>
              <w:bottom w:w="-1" w:type="dxa"/>
              <w:right w:w="-1" w:type="dxa"/>
            </w:tcMar>
            <w:vAlign w:val="center"/>
          </w:tcPr>
          <w:p w14:paraId="3928C791">
            <w:pPr>
              <w:snapToGrid w:val="0"/>
              <w:spacing w:line="240" w:lineRule="auto"/>
              <w:ind w:left="0" w:leftChars="0" w:right="0" w:rightChars="0" w:firstLine="0" w:firstLineChars="0"/>
              <w:jc w:val="center"/>
              <w:rPr>
                <w:rFonts w:hint="eastAsia" w:ascii="微软雅黑" w:hAnsi="微软雅黑" w:eastAsia="微软雅黑" w:cs="微软雅黑"/>
                <w:b/>
                <w:sz w:val="20"/>
              </w:rPr>
            </w:pPr>
            <w:bookmarkStart w:id="50" w:name="_GoBack"/>
            <w:bookmarkEnd w:id="50"/>
            <w:r>
              <w:rPr>
                <w:rFonts w:hint="eastAsia" w:ascii="微软雅黑" w:hAnsi="微软雅黑" w:eastAsia="微软雅黑" w:cs="微软雅黑"/>
                <w:b/>
                <w:sz w:val="20"/>
              </w:rPr>
              <w:t>时期</w:t>
            </w:r>
          </w:p>
        </w:tc>
        <w:tc>
          <w:tcPr>
            <w:tcW w:w="1595" w:type="dxa"/>
            <w:tcBorders>
              <w:top w:val="single" w:color="auto" w:sz="12" w:space="0"/>
              <w:left w:val="nil"/>
              <w:bottom w:val="nil"/>
              <w:right w:val="nil"/>
            </w:tcBorders>
            <w:shd w:val="clear" w:color="auto" w:fill="D9EAF4"/>
            <w:noWrap w:val="0"/>
            <w:tcMar>
              <w:top w:w="-1" w:type="dxa"/>
              <w:left w:w="-1" w:type="dxa"/>
              <w:bottom w:w="-1" w:type="dxa"/>
              <w:right w:w="-1" w:type="dxa"/>
            </w:tcMar>
            <w:vAlign w:val="center"/>
          </w:tcPr>
          <w:p w14:paraId="7BDB4074">
            <w:pPr>
              <w:snapToGrid w:val="0"/>
              <w:spacing w:line="240" w:lineRule="auto"/>
              <w:ind w:left="0" w:leftChars="0" w:right="0" w:rightChars="0" w:firstLine="0" w:firstLineChars="0"/>
              <w:jc w:val="center"/>
              <w:rPr>
                <w:rFonts w:hint="eastAsia" w:ascii="微软雅黑" w:hAnsi="微软雅黑" w:eastAsia="微软雅黑" w:cs="微软雅黑"/>
                <w:b/>
                <w:sz w:val="20"/>
              </w:rPr>
            </w:pPr>
            <w:r>
              <w:rPr>
                <w:rFonts w:hint="eastAsia" w:ascii="微软雅黑" w:hAnsi="微软雅黑" w:eastAsia="微软雅黑" w:cs="微软雅黑"/>
                <w:b/>
                <w:sz w:val="20"/>
              </w:rPr>
              <w:t>化肥施用</w:t>
            </w:r>
          </w:p>
        </w:tc>
        <w:tc>
          <w:tcPr>
            <w:tcW w:w="1595" w:type="dxa"/>
            <w:tcBorders>
              <w:top w:val="single" w:color="auto" w:sz="12" w:space="0"/>
              <w:left w:val="nil"/>
              <w:bottom w:val="nil"/>
              <w:right w:val="nil"/>
            </w:tcBorders>
            <w:shd w:val="clear" w:color="auto" w:fill="D9EAF4"/>
            <w:noWrap w:val="0"/>
            <w:tcMar>
              <w:top w:w="-1" w:type="dxa"/>
              <w:left w:w="-1" w:type="dxa"/>
              <w:bottom w:w="-1" w:type="dxa"/>
              <w:right w:w="-1" w:type="dxa"/>
            </w:tcMar>
            <w:vAlign w:val="center"/>
          </w:tcPr>
          <w:p w14:paraId="195FCC2A">
            <w:pPr>
              <w:snapToGrid w:val="0"/>
              <w:spacing w:line="240" w:lineRule="auto"/>
              <w:ind w:left="0" w:leftChars="0" w:right="0" w:rightChars="0" w:firstLine="0" w:firstLineChars="0"/>
              <w:jc w:val="center"/>
              <w:rPr>
                <w:rFonts w:hint="eastAsia" w:ascii="微软雅黑" w:hAnsi="微软雅黑" w:eastAsia="微软雅黑" w:cs="微软雅黑"/>
                <w:b/>
                <w:sz w:val="20"/>
              </w:rPr>
            </w:pPr>
            <w:r>
              <w:rPr>
                <w:rFonts w:hint="eastAsia" w:ascii="微软雅黑" w:hAnsi="微软雅黑" w:eastAsia="微软雅黑" w:cs="微软雅黑"/>
                <w:b/>
                <w:sz w:val="20"/>
              </w:rPr>
              <w:t>稻田甲烷</w:t>
            </w:r>
          </w:p>
        </w:tc>
        <w:tc>
          <w:tcPr>
            <w:tcW w:w="1595" w:type="dxa"/>
            <w:tcBorders>
              <w:top w:val="single" w:color="auto" w:sz="12" w:space="0"/>
              <w:left w:val="nil"/>
              <w:bottom w:val="nil"/>
              <w:right w:val="nil"/>
            </w:tcBorders>
            <w:shd w:val="clear" w:color="auto" w:fill="D9EAF4"/>
            <w:noWrap w:val="0"/>
            <w:tcMar>
              <w:top w:w="-1" w:type="dxa"/>
              <w:left w:w="-1" w:type="dxa"/>
              <w:bottom w:w="-1" w:type="dxa"/>
              <w:right w:w="-1" w:type="dxa"/>
            </w:tcMar>
            <w:vAlign w:val="center"/>
          </w:tcPr>
          <w:p w14:paraId="59198877">
            <w:pPr>
              <w:snapToGrid w:val="0"/>
              <w:spacing w:line="240" w:lineRule="auto"/>
              <w:ind w:left="0" w:leftChars="0" w:right="0" w:rightChars="0" w:firstLine="0" w:firstLineChars="0"/>
              <w:jc w:val="center"/>
              <w:rPr>
                <w:rFonts w:hint="eastAsia" w:ascii="微软雅黑" w:hAnsi="微软雅黑" w:eastAsia="微软雅黑" w:cs="微软雅黑"/>
                <w:b/>
                <w:sz w:val="20"/>
              </w:rPr>
            </w:pPr>
            <w:r>
              <w:rPr>
                <w:rFonts w:hint="eastAsia" w:ascii="微软雅黑" w:hAnsi="微软雅黑" w:eastAsia="微软雅黑" w:cs="微软雅黑"/>
                <w:b/>
                <w:sz w:val="20"/>
              </w:rPr>
              <w:t>能源消耗</w:t>
            </w:r>
          </w:p>
        </w:tc>
        <w:tc>
          <w:tcPr>
            <w:tcW w:w="1595" w:type="dxa"/>
            <w:tcBorders>
              <w:top w:val="single" w:color="auto" w:sz="12" w:space="0"/>
              <w:left w:val="nil"/>
              <w:bottom w:val="nil"/>
              <w:right w:val="nil"/>
            </w:tcBorders>
            <w:shd w:val="clear" w:color="auto" w:fill="D9EAF4"/>
            <w:noWrap w:val="0"/>
            <w:tcMar>
              <w:top w:w="-1" w:type="dxa"/>
              <w:left w:w="-1" w:type="dxa"/>
              <w:bottom w:w="-1" w:type="dxa"/>
              <w:right w:w="-1" w:type="dxa"/>
            </w:tcMar>
            <w:vAlign w:val="center"/>
          </w:tcPr>
          <w:p w14:paraId="5CE21A96">
            <w:pPr>
              <w:snapToGrid w:val="0"/>
              <w:spacing w:line="240" w:lineRule="auto"/>
              <w:ind w:left="0" w:leftChars="0" w:right="0" w:rightChars="0" w:firstLine="0" w:firstLineChars="0"/>
              <w:jc w:val="center"/>
              <w:rPr>
                <w:rFonts w:hint="eastAsia" w:ascii="微软雅黑" w:hAnsi="微软雅黑" w:eastAsia="微软雅黑" w:cs="微软雅黑"/>
                <w:b/>
                <w:sz w:val="20"/>
              </w:rPr>
            </w:pPr>
            <w:r>
              <w:rPr>
                <w:rFonts w:hint="eastAsia" w:ascii="微软雅黑" w:hAnsi="微软雅黑" w:eastAsia="微软雅黑" w:cs="微软雅黑"/>
                <w:b/>
                <w:sz w:val="20"/>
              </w:rPr>
              <w:t>土壤碳库</w:t>
            </w:r>
          </w:p>
        </w:tc>
        <w:tc>
          <w:tcPr>
            <w:tcW w:w="970" w:type="dxa"/>
            <w:tcBorders>
              <w:top w:val="single" w:color="auto" w:sz="12" w:space="0"/>
              <w:left w:val="nil"/>
              <w:bottom w:val="nil"/>
              <w:right w:val="nil"/>
            </w:tcBorders>
            <w:shd w:val="clear" w:color="auto" w:fill="D9EAF4"/>
            <w:noWrap w:val="0"/>
            <w:tcMar>
              <w:top w:w="-1" w:type="dxa"/>
              <w:left w:w="-1" w:type="dxa"/>
              <w:bottom w:w="-1" w:type="dxa"/>
              <w:right w:w="-1" w:type="dxa"/>
            </w:tcMar>
            <w:vAlign w:val="center"/>
          </w:tcPr>
          <w:p w14:paraId="5AEC7409">
            <w:pPr>
              <w:snapToGrid w:val="0"/>
              <w:spacing w:line="240" w:lineRule="auto"/>
              <w:ind w:left="0" w:leftChars="0" w:right="0" w:rightChars="0" w:firstLine="0" w:firstLineChars="0"/>
              <w:jc w:val="center"/>
              <w:rPr>
                <w:rFonts w:hint="eastAsia" w:ascii="微软雅黑" w:hAnsi="微软雅黑" w:eastAsia="微软雅黑" w:cs="微软雅黑"/>
                <w:b/>
                <w:sz w:val="20"/>
              </w:rPr>
            </w:pPr>
            <w:r>
              <w:rPr>
                <w:rFonts w:hint="eastAsia" w:ascii="微软雅黑" w:hAnsi="微软雅黑" w:eastAsia="微软雅黑" w:cs="微软雅黑"/>
                <w:b/>
                <w:sz w:val="20"/>
              </w:rPr>
              <w:t>总量</w:t>
            </w:r>
          </w:p>
        </w:tc>
      </w:tr>
      <w:tr w14:paraId="55E7B218">
        <w:tblPrEx>
          <w:tblBorders>
            <w:top w:val="none" w:color="B7C3D0" w:sz="8" w:space="0"/>
            <w:left w:val="none" w:color="B7C3D0" w:sz="8" w:space="0"/>
            <w:bottom w:val="none" w:color="B7C3D0" w:sz="8" w:space="0"/>
            <w:right w:val="none" w:color="B7C3D0" w:sz="8" w:space="0"/>
            <w:insideH w:val="none" w:color="B7C3D0" w:sz="8" w:space="0"/>
            <w:insideV w:val="none" w:color="B7C3D0" w:sz="8" w:space="0"/>
          </w:tblBorders>
          <w:tblCellMar>
            <w:top w:w="0" w:type="dxa"/>
            <w:left w:w="108" w:type="dxa"/>
            <w:bottom w:w="0" w:type="dxa"/>
            <w:right w:w="108" w:type="dxa"/>
          </w:tblCellMar>
        </w:tblPrEx>
        <w:trPr>
          <w:trHeight w:val="0" w:hRule="atLeast"/>
          <w:jc w:val="center"/>
        </w:trPr>
        <w:tc>
          <w:tcPr>
            <w:tcW w:w="2150" w:type="dxa"/>
            <w:tcBorders>
              <w:top w:val="single" w:color="auto" w:sz="4" w:space="0"/>
              <w:left w:val="nil"/>
              <w:bottom w:val="nil"/>
              <w:right w:val="nil"/>
            </w:tcBorders>
            <w:noWrap w:val="0"/>
            <w:tcMar>
              <w:top w:w="-1" w:type="dxa"/>
              <w:left w:w="-1" w:type="dxa"/>
              <w:bottom w:w="-1" w:type="dxa"/>
              <w:right w:w="-1" w:type="dxa"/>
            </w:tcMar>
            <w:vAlign w:val="center"/>
          </w:tcPr>
          <w:p w14:paraId="7BBA39DB">
            <w:pPr>
              <w:snapToGrid w:val="0"/>
              <w:spacing w:line="240" w:lineRule="auto"/>
              <w:ind w:left="0" w:leftChars="0" w:right="0" w:rightChars="0" w:firstLine="0" w:firstLineChars="0"/>
              <w:jc w:val="center"/>
              <w:rPr>
                <w:rFonts w:hint="eastAsia" w:ascii="微软雅黑" w:hAnsi="微软雅黑" w:eastAsia="微软雅黑" w:cs="微软雅黑"/>
                <w:sz w:val="20"/>
              </w:rPr>
            </w:pPr>
            <w:r>
              <w:rPr>
                <w:rFonts w:hint="eastAsia" w:ascii="微软雅黑" w:hAnsi="微软雅黑" w:eastAsia="微软雅黑" w:cs="微软雅黑"/>
                <w:b w:val="0"/>
                <w:sz w:val="20"/>
              </w:rPr>
              <w:t>2000—2005</w:t>
            </w:r>
          </w:p>
        </w:tc>
        <w:tc>
          <w:tcPr>
            <w:tcW w:w="1595" w:type="dxa"/>
            <w:tcBorders>
              <w:top w:val="single" w:color="auto" w:sz="4" w:space="0"/>
              <w:left w:val="nil"/>
              <w:bottom w:val="nil"/>
              <w:right w:val="nil"/>
            </w:tcBorders>
            <w:noWrap w:val="0"/>
            <w:tcMar>
              <w:top w:w="-1" w:type="dxa"/>
              <w:left w:w="-1" w:type="dxa"/>
              <w:bottom w:w="-1" w:type="dxa"/>
              <w:right w:w="-1" w:type="dxa"/>
            </w:tcMar>
            <w:vAlign w:val="center"/>
          </w:tcPr>
          <w:p w14:paraId="2F256A36">
            <w:pPr>
              <w:snapToGrid w:val="0"/>
              <w:spacing w:line="240" w:lineRule="auto"/>
              <w:ind w:left="0" w:leftChars="0" w:right="0" w:rightChars="0" w:firstLine="0" w:firstLineChars="0"/>
              <w:jc w:val="center"/>
              <w:rPr>
                <w:rFonts w:hint="eastAsia" w:ascii="微软雅黑" w:hAnsi="微软雅黑" w:eastAsia="微软雅黑" w:cs="微软雅黑"/>
                <w:sz w:val="20"/>
              </w:rPr>
            </w:pPr>
            <w:r>
              <w:rPr>
                <w:rFonts w:hint="eastAsia" w:ascii="微软雅黑" w:hAnsi="微软雅黑" w:eastAsia="微软雅黑" w:cs="微软雅黑"/>
                <w:b w:val="0"/>
                <w:sz w:val="20"/>
              </w:rPr>
              <w:t>28.6</w:t>
            </w:r>
          </w:p>
        </w:tc>
        <w:tc>
          <w:tcPr>
            <w:tcW w:w="1595" w:type="dxa"/>
            <w:tcBorders>
              <w:top w:val="single" w:color="auto" w:sz="4" w:space="0"/>
              <w:left w:val="nil"/>
              <w:bottom w:val="nil"/>
              <w:right w:val="nil"/>
            </w:tcBorders>
            <w:noWrap w:val="0"/>
            <w:tcMar>
              <w:top w:w="-1" w:type="dxa"/>
              <w:left w:w="-1" w:type="dxa"/>
              <w:bottom w:w="-1" w:type="dxa"/>
              <w:right w:w="-1" w:type="dxa"/>
            </w:tcMar>
            <w:vAlign w:val="center"/>
          </w:tcPr>
          <w:p w14:paraId="3BBA91BA">
            <w:pPr>
              <w:snapToGrid w:val="0"/>
              <w:spacing w:line="240" w:lineRule="auto"/>
              <w:ind w:left="0" w:leftChars="0" w:right="0" w:rightChars="0" w:firstLine="0" w:firstLineChars="0"/>
              <w:jc w:val="right"/>
              <w:rPr>
                <w:rFonts w:hint="eastAsia" w:ascii="微软雅黑" w:hAnsi="微软雅黑" w:eastAsia="微软雅黑" w:cs="微软雅黑"/>
                <w:sz w:val="20"/>
              </w:rPr>
            </w:pPr>
            <w:r>
              <w:rPr>
                <w:rFonts w:hint="eastAsia" w:ascii="微软雅黑" w:hAnsi="微软雅黑" w:eastAsia="微软雅黑" w:cs="微软雅黑"/>
                <w:b w:val="0"/>
                <w:sz w:val="20"/>
              </w:rPr>
              <w:t>24.3</w:t>
            </w:r>
          </w:p>
        </w:tc>
        <w:tc>
          <w:tcPr>
            <w:tcW w:w="1595" w:type="dxa"/>
            <w:tcBorders>
              <w:top w:val="single" w:color="auto" w:sz="4" w:space="0"/>
              <w:left w:val="nil"/>
              <w:bottom w:val="nil"/>
              <w:right w:val="nil"/>
            </w:tcBorders>
            <w:noWrap w:val="0"/>
            <w:tcMar>
              <w:top w:w="-1" w:type="dxa"/>
              <w:left w:w="-1" w:type="dxa"/>
              <w:bottom w:w="-1" w:type="dxa"/>
              <w:right w:w="-1" w:type="dxa"/>
            </w:tcMar>
            <w:vAlign w:val="center"/>
          </w:tcPr>
          <w:p w14:paraId="00AF85DE">
            <w:pPr>
              <w:snapToGrid w:val="0"/>
              <w:spacing w:line="240" w:lineRule="auto"/>
              <w:ind w:left="0" w:leftChars="0" w:right="0" w:rightChars="0" w:firstLine="0" w:firstLineChars="0"/>
              <w:jc w:val="right"/>
              <w:rPr>
                <w:rFonts w:hint="eastAsia" w:ascii="微软雅黑" w:hAnsi="微软雅黑" w:eastAsia="微软雅黑" w:cs="微软雅黑"/>
                <w:sz w:val="20"/>
              </w:rPr>
            </w:pPr>
            <w:r>
              <w:rPr>
                <w:rFonts w:hint="eastAsia" w:ascii="微软雅黑" w:hAnsi="微软雅黑" w:eastAsia="微软雅黑" w:cs="微软雅黑"/>
                <w:b w:val="0"/>
                <w:sz w:val="20"/>
              </w:rPr>
              <w:t>6.8</w:t>
            </w:r>
          </w:p>
        </w:tc>
        <w:tc>
          <w:tcPr>
            <w:tcW w:w="1595" w:type="dxa"/>
            <w:tcBorders>
              <w:top w:val="single" w:color="auto" w:sz="4" w:space="0"/>
              <w:left w:val="nil"/>
              <w:bottom w:val="nil"/>
              <w:right w:val="nil"/>
            </w:tcBorders>
            <w:noWrap w:val="0"/>
            <w:tcMar>
              <w:top w:w="-1" w:type="dxa"/>
              <w:left w:w="-1" w:type="dxa"/>
              <w:bottom w:w="-1" w:type="dxa"/>
              <w:right w:w="-1" w:type="dxa"/>
            </w:tcMar>
            <w:vAlign w:val="center"/>
          </w:tcPr>
          <w:p w14:paraId="6CC9863D">
            <w:pPr>
              <w:snapToGrid w:val="0"/>
              <w:spacing w:line="240" w:lineRule="auto"/>
              <w:ind w:left="0" w:leftChars="0" w:right="0" w:rightChars="0" w:firstLine="0" w:firstLineChars="0"/>
              <w:jc w:val="right"/>
              <w:rPr>
                <w:rFonts w:hint="eastAsia" w:ascii="微软雅黑" w:hAnsi="微软雅黑" w:eastAsia="微软雅黑" w:cs="微软雅黑"/>
                <w:sz w:val="20"/>
              </w:rPr>
            </w:pPr>
            <w:r>
              <w:rPr>
                <w:rFonts w:hint="eastAsia" w:ascii="微软雅黑" w:hAnsi="微软雅黑" w:eastAsia="微软雅黑" w:cs="微软雅黑"/>
                <w:b w:val="0"/>
                <w:sz w:val="20"/>
              </w:rPr>
              <w:t>-1.2</w:t>
            </w:r>
          </w:p>
        </w:tc>
        <w:tc>
          <w:tcPr>
            <w:tcW w:w="970" w:type="dxa"/>
            <w:tcBorders>
              <w:top w:val="single" w:color="auto" w:sz="4" w:space="0"/>
              <w:left w:val="nil"/>
              <w:bottom w:val="nil"/>
              <w:right w:val="nil"/>
            </w:tcBorders>
            <w:noWrap w:val="0"/>
            <w:tcMar>
              <w:top w:w="-1" w:type="dxa"/>
              <w:left w:w="-1" w:type="dxa"/>
              <w:bottom w:w="-1" w:type="dxa"/>
              <w:right w:w="-1" w:type="dxa"/>
            </w:tcMar>
            <w:vAlign w:val="center"/>
          </w:tcPr>
          <w:p w14:paraId="28374AD3">
            <w:pPr>
              <w:snapToGrid w:val="0"/>
              <w:spacing w:line="240" w:lineRule="auto"/>
              <w:ind w:left="0" w:leftChars="0" w:right="0" w:rightChars="0" w:firstLine="0" w:firstLineChars="0"/>
              <w:jc w:val="right"/>
              <w:rPr>
                <w:rFonts w:hint="eastAsia" w:ascii="微软雅黑" w:hAnsi="微软雅黑" w:eastAsia="微软雅黑" w:cs="微软雅黑"/>
                <w:sz w:val="20"/>
              </w:rPr>
            </w:pPr>
            <w:r>
              <w:rPr>
                <w:rFonts w:hint="eastAsia" w:ascii="微软雅黑" w:hAnsi="微软雅黑" w:eastAsia="微软雅黑" w:cs="微软雅黑"/>
                <w:b w:val="0"/>
                <w:sz w:val="20"/>
              </w:rPr>
              <w:t>58.5</w:t>
            </w:r>
          </w:p>
        </w:tc>
      </w:tr>
      <w:tr w14:paraId="6B026F50">
        <w:tblPrEx>
          <w:tblBorders>
            <w:top w:val="none" w:color="B7C3D0" w:sz="8" w:space="0"/>
            <w:left w:val="none" w:color="B7C3D0" w:sz="8" w:space="0"/>
            <w:bottom w:val="none" w:color="B7C3D0" w:sz="8" w:space="0"/>
            <w:right w:val="none" w:color="B7C3D0" w:sz="8" w:space="0"/>
            <w:insideH w:val="none" w:color="B7C3D0" w:sz="8" w:space="0"/>
            <w:insideV w:val="none" w:color="B7C3D0" w:sz="8" w:space="0"/>
          </w:tblBorders>
          <w:tblCellMar>
            <w:top w:w="0" w:type="dxa"/>
            <w:left w:w="108" w:type="dxa"/>
            <w:bottom w:w="0" w:type="dxa"/>
            <w:right w:w="108" w:type="dxa"/>
          </w:tblCellMar>
        </w:tblPrEx>
        <w:trPr>
          <w:trHeight w:val="0" w:hRule="atLeast"/>
          <w:jc w:val="center"/>
        </w:trPr>
        <w:tc>
          <w:tcPr>
            <w:tcW w:w="2150" w:type="dxa"/>
            <w:tcBorders>
              <w:top w:val="nil"/>
              <w:left w:val="nil"/>
              <w:bottom w:val="nil"/>
              <w:right w:val="nil"/>
            </w:tcBorders>
            <w:noWrap w:val="0"/>
            <w:tcMar>
              <w:top w:w="-1" w:type="dxa"/>
              <w:left w:w="-1" w:type="dxa"/>
              <w:bottom w:w="-1" w:type="dxa"/>
              <w:right w:w="-1" w:type="dxa"/>
            </w:tcMar>
            <w:vAlign w:val="center"/>
          </w:tcPr>
          <w:p w14:paraId="72EC9D7C">
            <w:pPr>
              <w:snapToGrid w:val="0"/>
              <w:spacing w:line="240" w:lineRule="auto"/>
              <w:ind w:left="0" w:leftChars="0" w:right="0" w:rightChars="0" w:firstLine="0" w:firstLineChars="0"/>
              <w:jc w:val="center"/>
              <w:rPr>
                <w:rFonts w:hint="eastAsia" w:ascii="微软雅黑" w:hAnsi="微软雅黑" w:eastAsia="微软雅黑" w:cs="微软雅黑"/>
                <w:sz w:val="20"/>
              </w:rPr>
            </w:pPr>
            <w:r>
              <w:rPr>
                <w:rFonts w:hint="eastAsia" w:ascii="微软雅黑" w:hAnsi="微软雅黑" w:eastAsia="微软雅黑" w:cs="微软雅黑"/>
                <w:b w:val="0"/>
                <w:sz w:val="20"/>
              </w:rPr>
              <w:t>2006—2010</w:t>
            </w:r>
          </w:p>
        </w:tc>
        <w:tc>
          <w:tcPr>
            <w:tcW w:w="1595" w:type="dxa"/>
            <w:tcBorders>
              <w:top w:val="nil"/>
              <w:left w:val="nil"/>
              <w:bottom w:val="nil"/>
              <w:right w:val="nil"/>
            </w:tcBorders>
            <w:noWrap w:val="0"/>
            <w:tcMar>
              <w:top w:w="-1" w:type="dxa"/>
              <w:left w:w="-1" w:type="dxa"/>
              <w:bottom w:w="-1" w:type="dxa"/>
              <w:right w:w="-1" w:type="dxa"/>
            </w:tcMar>
            <w:vAlign w:val="center"/>
          </w:tcPr>
          <w:p w14:paraId="10DB76E5">
            <w:pPr>
              <w:snapToGrid w:val="0"/>
              <w:spacing w:line="240" w:lineRule="auto"/>
              <w:ind w:left="0" w:leftChars="0" w:right="0" w:rightChars="0" w:firstLine="0" w:firstLineChars="0"/>
              <w:jc w:val="center"/>
              <w:rPr>
                <w:rFonts w:hint="eastAsia" w:ascii="微软雅黑" w:hAnsi="微软雅黑" w:eastAsia="微软雅黑" w:cs="微软雅黑"/>
                <w:sz w:val="20"/>
              </w:rPr>
            </w:pPr>
            <w:r>
              <w:rPr>
                <w:rFonts w:hint="eastAsia" w:ascii="微软雅黑" w:hAnsi="微软雅黑" w:eastAsia="微软雅黑" w:cs="微软雅黑"/>
                <w:b w:val="0"/>
                <w:sz w:val="20"/>
              </w:rPr>
              <w:t>32.1</w:t>
            </w:r>
          </w:p>
        </w:tc>
        <w:tc>
          <w:tcPr>
            <w:tcW w:w="1595" w:type="dxa"/>
            <w:tcBorders>
              <w:top w:val="nil"/>
              <w:left w:val="nil"/>
              <w:bottom w:val="nil"/>
              <w:right w:val="nil"/>
            </w:tcBorders>
            <w:noWrap w:val="0"/>
            <w:tcMar>
              <w:top w:w="-1" w:type="dxa"/>
              <w:left w:w="-1" w:type="dxa"/>
              <w:bottom w:w="-1" w:type="dxa"/>
              <w:right w:w="-1" w:type="dxa"/>
            </w:tcMar>
            <w:vAlign w:val="center"/>
          </w:tcPr>
          <w:p w14:paraId="24D35C94">
            <w:pPr>
              <w:snapToGrid w:val="0"/>
              <w:spacing w:line="240" w:lineRule="auto"/>
              <w:ind w:left="0" w:leftChars="0" w:right="0" w:rightChars="0" w:firstLine="0" w:firstLineChars="0"/>
              <w:jc w:val="right"/>
              <w:rPr>
                <w:rFonts w:hint="eastAsia" w:ascii="微软雅黑" w:hAnsi="微软雅黑" w:eastAsia="微软雅黑" w:cs="微软雅黑"/>
                <w:sz w:val="20"/>
              </w:rPr>
            </w:pPr>
            <w:r>
              <w:rPr>
                <w:rFonts w:hint="eastAsia" w:ascii="微软雅黑" w:hAnsi="微软雅黑" w:eastAsia="微软雅黑" w:cs="微软雅黑"/>
                <w:b w:val="0"/>
                <w:sz w:val="20"/>
              </w:rPr>
              <w:t>26.8</w:t>
            </w:r>
          </w:p>
        </w:tc>
        <w:tc>
          <w:tcPr>
            <w:tcW w:w="1595" w:type="dxa"/>
            <w:tcBorders>
              <w:top w:val="nil"/>
              <w:left w:val="nil"/>
              <w:bottom w:val="nil"/>
              <w:right w:val="nil"/>
            </w:tcBorders>
            <w:noWrap w:val="0"/>
            <w:tcMar>
              <w:top w:w="-1" w:type="dxa"/>
              <w:left w:w="-1" w:type="dxa"/>
              <w:bottom w:w="-1" w:type="dxa"/>
              <w:right w:w="-1" w:type="dxa"/>
            </w:tcMar>
            <w:vAlign w:val="center"/>
          </w:tcPr>
          <w:p w14:paraId="27425F3B">
            <w:pPr>
              <w:snapToGrid w:val="0"/>
              <w:spacing w:line="240" w:lineRule="auto"/>
              <w:ind w:left="0" w:leftChars="0" w:right="0" w:rightChars="0" w:firstLine="0" w:firstLineChars="0"/>
              <w:jc w:val="right"/>
              <w:rPr>
                <w:rFonts w:hint="eastAsia" w:ascii="微软雅黑" w:hAnsi="微软雅黑" w:eastAsia="微软雅黑" w:cs="微软雅黑"/>
                <w:sz w:val="20"/>
              </w:rPr>
            </w:pPr>
            <w:r>
              <w:rPr>
                <w:rFonts w:hint="eastAsia" w:ascii="微软雅黑" w:hAnsi="微软雅黑" w:eastAsia="微软雅黑" w:cs="微软雅黑"/>
                <w:b w:val="0"/>
                <w:sz w:val="20"/>
              </w:rPr>
              <w:t>7.5</w:t>
            </w:r>
          </w:p>
        </w:tc>
        <w:tc>
          <w:tcPr>
            <w:tcW w:w="1595" w:type="dxa"/>
            <w:tcBorders>
              <w:top w:val="nil"/>
              <w:left w:val="nil"/>
              <w:bottom w:val="nil"/>
              <w:right w:val="nil"/>
            </w:tcBorders>
            <w:noWrap w:val="0"/>
            <w:tcMar>
              <w:top w:w="-1" w:type="dxa"/>
              <w:left w:w="-1" w:type="dxa"/>
              <w:bottom w:w="-1" w:type="dxa"/>
              <w:right w:w="-1" w:type="dxa"/>
            </w:tcMar>
            <w:vAlign w:val="center"/>
          </w:tcPr>
          <w:p w14:paraId="5B858D65">
            <w:pPr>
              <w:snapToGrid w:val="0"/>
              <w:spacing w:line="240" w:lineRule="auto"/>
              <w:ind w:left="0" w:leftChars="0" w:right="0" w:rightChars="0" w:firstLine="0" w:firstLineChars="0"/>
              <w:jc w:val="right"/>
              <w:rPr>
                <w:rFonts w:hint="eastAsia" w:ascii="微软雅黑" w:hAnsi="微软雅黑" w:eastAsia="微软雅黑" w:cs="微软雅黑"/>
                <w:sz w:val="20"/>
              </w:rPr>
            </w:pPr>
            <w:r>
              <w:rPr>
                <w:rFonts w:hint="eastAsia" w:ascii="微软雅黑" w:hAnsi="微软雅黑" w:eastAsia="微软雅黑" w:cs="微软雅黑"/>
                <w:b w:val="0"/>
                <w:sz w:val="20"/>
              </w:rPr>
              <w:t>-1.5</w:t>
            </w:r>
          </w:p>
        </w:tc>
        <w:tc>
          <w:tcPr>
            <w:tcW w:w="970" w:type="dxa"/>
            <w:tcBorders>
              <w:top w:val="nil"/>
              <w:left w:val="nil"/>
              <w:bottom w:val="nil"/>
              <w:right w:val="nil"/>
            </w:tcBorders>
            <w:noWrap w:val="0"/>
            <w:tcMar>
              <w:top w:w="-1" w:type="dxa"/>
              <w:left w:w="-1" w:type="dxa"/>
              <w:bottom w:w="-1" w:type="dxa"/>
              <w:right w:w="-1" w:type="dxa"/>
            </w:tcMar>
            <w:vAlign w:val="center"/>
          </w:tcPr>
          <w:p w14:paraId="7A988DA2">
            <w:pPr>
              <w:snapToGrid w:val="0"/>
              <w:spacing w:line="240" w:lineRule="auto"/>
              <w:ind w:left="0" w:leftChars="0" w:right="0" w:rightChars="0" w:firstLine="0" w:firstLineChars="0"/>
              <w:jc w:val="right"/>
              <w:rPr>
                <w:rFonts w:hint="eastAsia" w:ascii="微软雅黑" w:hAnsi="微软雅黑" w:eastAsia="微软雅黑" w:cs="微软雅黑"/>
                <w:sz w:val="20"/>
              </w:rPr>
            </w:pPr>
            <w:r>
              <w:rPr>
                <w:rFonts w:hint="eastAsia" w:ascii="微软雅黑" w:hAnsi="微软雅黑" w:eastAsia="微软雅黑" w:cs="微软雅黑"/>
                <w:b w:val="0"/>
                <w:sz w:val="20"/>
              </w:rPr>
              <w:t>64.9</w:t>
            </w:r>
          </w:p>
        </w:tc>
      </w:tr>
      <w:tr w14:paraId="5F65B6C0">
        <w:tblPrEx>
          <w:tblBorders>
            <w:top w:val="none" w:color="B7C3D0" w:sz="8" w:space="0"/>
            <w:left w:val="none" w:color="B7C3D0" w:sz="8" w:space="0"/>
            <w:bottom w:val="none" w:color="B7C3D0" w:sz="8" w:space="0"/>
            <w:right w:val="none" w:color="B7C3D0" w:sz="8" w:space="0"/>
            <w:insideH w:val="none" w:color="B7C3D0" w:sz="8" w:space="0"/>
            <w:insideV w:val="none" w:color="B7C3D0" w:sz="8" w:space="0"/>
          </w:tblBorders>
          <w:tblCellMar>
            <w:top w:w="0" w:type="dxa"/>
            <w:left w:w="108" w:type="dxa"/>
            <w:bottom w:w="0" w:type="dxa"/>
            <w:right w:w="108" w:type="dxa"/>
          </w:tblCellMar>
        </w:tblPrEx>
        <w:trPr>
          <w:trHeight w:val="0" w:hRule="atLeast"/>
          <w:jc w:val="center"/>
        </w:trPr>
        <w:tc>
          <w:tcPr>
            <w:tcW w:w="2150" w:type="dxa"/>
            <w:tcBorders>
              <w:top w:val="nil"/>
              <w:left w:val="nil"/>
              <w:bottom w:val="nil"/>
              <w:right w:val="nil"/>
            </w:tcBorders>
            <w:noWrap w:val="0"/>
            <w:tcMar>
              <w:top w:w="-1" w:type="dxa"/>
              <w:left w:w="-1" w:type="dxa"/>
              <w:bottom w:w="-1" w:type="dxa"/>
              <w:right w:w="-1" w:type="dxa"/>
            </w:tcMar>
            <w:vAlign w:val="center"/>
          </w:tcPr>
          <w:p w14:paraId="465157EB">
            <w:pPr>
              <w:snapToGrid w:val="0"/>
              <w:spacing w:line="240" w:lineRule="auto"/>
              <w:ind w:left="0" w:leftChars="0" w:right="0" w:rightChars="0" w:firstLine="0" w:firstLineChars="0"/>
              <w:jc w:val="center"/>
              <w:rPr>
                <w:rFonts w:hint="eastAsia" w:ascii="微软雅黑" w:hAnsi="微软雅黑" w:eastAsia="微软雅黑" w:cs="微软雅黑"/>
                <w:sz w:val="20"/>
              </w:rPr>
            </w:pPr>
            <w:r>
              <w:rPr>
                <w:rFonts w:hint="eastAsia" w:ascii="微软雅黑" w:hAnsi="微软雅黑" w:eastAsia="微软雅黑" w:cs="微软雅黑"/>
                <w:b w:val="0"/>
                <w:sz w:val="20"/>
              </w:rPr>
              <w:t>2011—2015</w:t>
            </w:r>
          </w:p>
        </w:tc>
        <w:tc>
          <w:tcPr>
            <w:tcW w:w="1595" w:type="dxa"/>
            <w:tcBorders>
              <w:top w:val="nil"/>
              <w:left w:val="nil"/>
              <w:bottom w:val="nil"/>
              <w:right w:val="nil"/>
            </w:tcBorders>
            <w:noWrap w:val="0"/>
            <w:tcMar>
              <w:top w:w="-1" w:type="dxa"/>
              <w:left w:w="-1" w:type="dxa"/>
              <w:bottom w:w="-1" w:type="dxa"/>
              <w:right w:w="-1" w:type="dxa"/>
            </w:tcMar>
            <w:vAlign w:val="center"/>
          </w:tcPr>
          <w:p w14:paraId="21729810">
            <w:pPr>
              <w:snapToGrid w:val="0"/>
              <w:spacing w:line="240" w:lineRule="auto"/>
              <w:ind w:left="0" w:leftChars="0" w:right="0" w:rightChars="0" w:firstLine="0" w:firstLineChars="0"/>
              <w:jc w:val="center"/>
              <w:rPr>
                <w:rFonts w:hint="eastAsia" w:ascii="微软雅黑" w:hAnsi="微软雅黑" w:eastAsia="微软雅黑" w:cs="微软雅黑"/>
                <w:sz w:val="20"/>
              </w:rPr>
            </w:pPr>
            <w:r>
              <w:rPr>
                <w:rFonts w:hint="eastAsia" w:ascii="微软雅黑" w:hAnsi="微软雅黑" w:eastAsia="微软雅黑" w:cs="微软雅黑"/>
                <w:b w:val="0"/>
                <w:sz w:val="20"/>
              </w:rPr>
              <w:t>35.8</w:t>
            </w:r>
          </w:p>
        </w:tc>
        <w:tc>
          <w:tcPr>
            <w:tcW w:w="1595" w:type="dxa"/>
            <w:tcBorders>
              <w:top w:val="nil"/>
              <w:left w:val="nil"/>
              <w:bottom w:val="nil"/>
              <w:right w:val="nil"/>
            </w:tcBorders>
            <w:noWrap w:val="0"/>
            <w:tcMar>
              <w:top w:w="-1" w:type="dxa"/>
              <w:left w:w="-1" w:type="dxa"/>
              <w:bottom w:w="-1" w:type="dxa"/>
              <w:right w:w="-1" w:type="dxa"/>
            </w:tcMar>
            <w:vAlign w:val="center"/>
          </w:tcPr>
          <w:p w14:paraId="3F330A9F">
            <w:pPr>
              <w:snapToGrid w:val="0"/>
              <w:spacing w:line="240" w:lineRule="auto"/>
              <w:ind w:left="0" w:leftChars="0" w:right="0" w:rightChars="0" w:firstLine="0" w:firstLineChars="0"/>
              <w:jc w:val="right"/>
              <w:rPr>
                <w:rFonts w:hint="eastAsia" w:ascii="微软雅黑" w:hAnsi="微软雅黑" w:eastAsia="微软雅黑" w:cs="微软雅黑"/>
                <w:sz w:val="20"/>
              </w:rPr>
            </w:pPr>
            <w:r>
              <w:rPr>
                <w:rFonts w:hint="eastAsia" w:ascii="微软雅黑" w:hAnsi="微软雅黑" w:eastAsia="微软雅黑" w:cs="微软雅黑"/>
                <w:b w:val="0"/>
                <w:sz w:val="20"/>
              </w:rPr>
              <w:t>28.9</w:t>
            </w:r>
          </w:p>
        </w:tc>
        <w:tc>
          <w:tcPr>
            <w:tcW w:w="1595" w:type="dxa"/>
            <w:tcBorders>
              <w:top w:val="nil"/>
              <w:left w:val="nil"/>
              <w:bottom w:val="nil"/>
              <w:right w:val="nil"/>
            </w:tcBorders>
            <w:noWrap w:val="0"/>
            <w:tcMar>
              <w:top w:w="-1" w:type="dxa"/>
              <w:left w:w="-1" w:type="dxa"/>
              <w:bottom w:w="-1" w:type="dxa"/>
              <w:right w:w="-1" w:type="dxa"/>
            </w:tcMar>
            <w:vAlign w:val="center"/>
          </w:tcPr>
          <w:p w14:paraId="05125268">
            <w:pPr>
              <w:snapToGrid w:val="0"/>
              <w:spacing w:line="240" w:lineRule="auto"/>
              <w:ind w:left="0" w:leftChars="0" w:right="0" w:rightChars="0" w:firstLine="0" w:firstLineChars="0"/>
              <w:jc w:val="right"/>
              <w:rPr>
                <w:rFonts w:hint="eastAsia" w:ascii="微软雅黑" w:hAnsi="微软雅黑" w:eastAsia="微软雅黑" w:cs="微软雅黑"/>
                <w:sz w:val="20"/>
              </w:rPr>
            </w:pPr>
            <w:r>
              <w:rPr>
                <w:rFonts w:hint="eastAsia" w:ascii="微软雅黑" w:hAnsi="微软雅黑" w:eastAsia="微软雅黑" w:cs="微软雅黑"/>
                <w:b w:val="0"/>
                <w:sz w:val="20"/>
              </w:rPr>
              <w:t>8.2</w:t>
            </w:r>
          </w:p>
        </w:tc>
        <w:tc>
          <w:tcPr>
            <w:tcW w:w="1595" w:type="dxa"/>
            <w:tcBorders>
              <w:top w:val="nil"/>
              <w:left w:val="nil"/>
              <w:bottom w:val="nil"/>
              <w:right w:val="nil"/>
            </w:tcBorders>
            <w:noWrap w:val="0"/>
            <w:tcMar>
              <w:top w:w="-1" w:type="dxa"/>
              <w:left w:w="-1" w:type="dxa"/>
              <w:bottom w:w="-1" w:type="dxa"/>
              <w:right w:w="-1" w:type="dxa"/>
            </w:tcMar>
            <w:vAlign w:val="center"/>
          </w:tcPr>
          <w:p w14:paraId="6EC172B0">
            <w:pPr>
              <w:snapToGrid w:val="0"/>
              <w:spacing w:line="240" w:lineRule="auto"/>
              <w:ind w:left="0" w:leftChars="0" w:right="0" w:rightChars="0" w:firstLine="0" w:firstLineChars="0"/>
              <w:jc w:val="right"/>
              <w:rPr>
                <w:rFonts w:hint="eastAsia" w:ascii="微软雅黑" w:hAnsi="微软雅黑" w:eastAsia="微软雅黑" w:cs="微软雅黑"/>
                <w:sz w:val="20"/>
              </w:rPr>
            </w:pPr>
            <w:r>
              <w:rPr>
                <w:rFonts w:hint="eastAsia" w:ascii="微软雅黑" w:hAnsi="微软雅黑" w:eastAsia="微软雅黑" w:cs="微软雅黑"/>
                <w:b w:val="0"/>
                <w:sz w:val="20"/>
              </w:rPr>
              <w:t>-1.8</w:t>
            </w:r>
          </w:p>
        </w:tc>
        <w:tc>
          <w:tcPr>
            <w:tcW w:w="970" w:type="dxa"/>
            <w:tcBorders>
              <w:top w:val="nil"/>
              <w:left w:val="nil"/>
              <w:bottom w:val="nil"/>
              <w:right w:val="nil"/>
            </w:tcBorders>
            <w:noWrap w:val="0"/>
            <w:tcMar>
              <w:top w:w="-1" w:type="dxa"/>
              <w:left w:w="-1" w:type="dxa"/>
              <w:bottom w:w="-1" w:type="dxa"/>
              <w:right w:w="-1" w:type="dxa"/>
            </w:tcMar>
            <w:vAlign w:val="center"/>
          </w:tcPr>
          <w:p w14:paraId="629CC9D3">
            <w:pPr>
              <w:snapToGrid w:val="0"/>
              <w:spacing w:line="240" w:lineRule="auto"/>
              <w:ind w:left="0" w:leftChars="0" w:right="0" w:rightChars="0" w:firstLine="0" w:firstLineChars="0"/>
              <w:jc w:val="right"/>
              <w:rPr>
                <w:rFonts w:hint="eastAsia" w:ascii="微软雅黑" w:hAnsi="微软雅黑" w:eastAsia="微软雅黑" w:cs="微软雅黑"/>
                <w:sz w:val="20"/>
              </w:rPr>
            </w:pPr>
            <w:r>
              <w:rPr>
                <w:rFonts w:hint="eastAsia" w:ascii="微软雅黑" w:hAnsi="微软雅黑" w:eastAsia="微软雅黑" w:cs="微软雅黑"/>
                <w:b w:val="0"/>
                <w:sz w:val="20"/>
              </w:rPr>
              <w:t>71.1</w:t>
            </w:r>
          </w:p>
        </w:tc>
      </w:tr>
      <w:tr w14:paraId="5F34A61B">
        <w:tblPrEx>
          <w:tblBorders>
            <w:top w:val="none" w:color="B7C3D0" w:sz="8" w:space="0"/>
            <w:left w:val="none" w:color="B7C3D0" w:sz="8" w:space="0"/>
            <w:bottom w:val="none" w:color="B7C3D0" w:sz="8" w:space="0"/>
            <w:right w:val="none" w:color="B7C3D0" w:sz="8" w:space="0"/>
            <w:insideH w:val="none" w:color="B7C3D0" w:sz="8" w:space="0"/>
            <w:insideV w:val="none" w:color="B7C3D0" w:sz="8" w:space="0"/>
          </w:tblBorders>
          <w:tblCellMar>
            <w:top w:w="0" w:type="dxa"/>
            <w:left w:w="108" w:type="dxa"/>
            <w:bottom w:w="0" w:type="dxa"/>
            <w:right w:w="108" w:type="dxa"/>
          </w:tblCellMar>
        </w:tblPrEx>
        <w:trPr>
          <w:trHeight w:val="0" w:hRule="atLeast"/>
          <w:jc w:val="center"/>
        </w:trPr>
        <w:tc>
          <w:tcPr>
            <w:tcW w:w="2150" w:type="dxa"/>
            <w:tcBorders>
              <w:top w:val="nil"/>
              <w:left w:val="nil"/>
              <w:bottom w:val="nil"/>
              <w:right w:val="nil"/>
            </w:tcBorders>
            <w:noWrap w:val="0"/>
            <w:tcMar>
              <w:top w:w="-1" w:type="dxa"/>
              <w:left w:w="-1" w:type="dxa"/>
              <w:bottom w:w="-1" w:type="dxa"/>
              <w:right w:w="-1" w:type="dxa"/>
            </w:tcMar>
            <w:vAlign w:val="center"/>
          </w:tcPr>
          <w:p w14:paraId="569BA72D">
            <w:pPr>
              <w:snapToGrid w:val="0"/>
              <w:spacing w:line="240" w:lineRule="auto"/>
              <w:ind w:left="0" w:leftChars="0" w:right="0" w:rightChars="0" w:firstLine="0" w:firstLineChars="0"/>
              <w:jc w:val="center"/>
              <w:rPr>
                <w:rFonts w:hint="eastAsia" w:ascii="微软雅黑" w:hAnsi="微软雅黑" w:eastAsia="微软雅黑" w:cs="微软雅黑"/>
                <w:sz w:val="20"/>
              </w:rPr>
            </w:pPr>
            <w:r>
              <w:rPr>
                <w:rFonts w:hint="eastAsia" w:ascii="微软雅黑" w:hAnsi="微软雅黑" w:eastAsia="微软雅黑" w:cs="微软雅黑"/>
                <w:b w:val="0"/>
                <w:sz w:val="20"/>
              </w:rPr>
              <w:t>2016—2020</w:t>
            </w:r>
          </w:p>
        </w:tc>
        <w:tc>
          <w:tcPr>
            <w:tcW w:w="1595" w:type="dxa"/>
            <w:tcBorders>
              <w:top w:val="nil"/>
              <w:left w:val="nil"/>
              <w:bottom w:val="nil"/>
              <w:right w:val="nil"/>
            </w:tcBorders>
            <w:noWrap w:val="0"/>
            <w:tcMar>
              <w:top w:w="-1" w:type="dxa"/>
              <w:left w:w="-1" w:type="dxa"/>
              <w:bottom w:w="-1" w:type="dxa"/>
              <w:right w:w="-1" w:type="dxa"/>
            </w:tcMar>
            <w:vAlign w:val="center"/>
          </w:tcPr>
          <w:p w14:paraId="6C2377C0">
            <w:pPr>
              <w:snapToGrid w:val="0"/>
              <w:spacing w:line="240" w:lineRule="auto"/>
              <w:ind w:left="0" w:leftChars="0" w:right="0" w:rightChars="0" w:firstLine="0" w:firstLineChars="0"/>
              <w:jc w:val="center"/>
              <w:rPr>
                <w:rFonts w:hint="eastAsia" w:ascii="微软雅黑" w:hAnsi="微软雅黑" w:eastAsia="微软雅黑" w:cs="微软雅黑"/>
                <w:sz w:val="20"/>
              </w:rPr>
            </w:pPr>
            <w:r>
              <w:rPr>
                <w:rFonts w:hint="eastAsia" w:ascii="微软雅黑" w:hAnsi="微软雅黑" w:eastAsia="微软雅黑" w:cs="微软雅黑"/>
                <w:b w:val="0"/>
                <w:sz w:val="20"/>
              </w:rPr>
              <w:t>36.2</w:t>
            </w:r>
          </w:p>
        </w:tc>
        <w:tc>
          <w:tcPr>
            <w:tcW w:w="1595" w:type="dxa"/>
            <w:tcBorders>
              <w:top w:val="nil"/>
              <w:left w:val="nil"/>
              <w:bottom w:val="nil"/>
              <w:right w:val="nil"/>
            </w:tcBorders>
            <w:noWrap w:val="0"/>
            <w:tcMar>
              <w:top w:w="-1" w:type="dxa"/>
              <w:left w:w="-1" w:type="dxa"/>
              <w:bottom w:w="-1" w:type="dxa"/>
              <w:right w:w="-1" w:type="dxa"/>
            </w:tcMar>
            <w:vAlign w:val="center"/>
          </w:tcPr>
          <w:p w14:paraId="32F7F9D7">
            <w:pPr>
              <w:snapToGrid w:val="0"/>
              <w:spacing w:line="240" w:lineRule="auto"/>
              <w:ind w:left="0" w:leftChars="0" w:right="0" w:rightChars="0" w:firstLine="0" w:firstLineChars="0"/>
              <w:jc w:val="right"/>
              <w:rPr>
                <w:rFonts w:hint="eastAsia" w:ascii="微软雅黑" w:hAnsi="微软雅黑" w:eastAsia="微软雅黑" w:cs="微软雅黑"/>
                <w:sz w:val="20"/>
              </w:rPr>
            </w:pPr>
            <w:r>
              <w:rPr>
                <w:rFonts w:hint="eastAsia" w:ascii="微软雅黑" w:hAnsi="微软雅黑" w:eastAsia="微软雅黑" w:cs="微软雅黑"/>
                <w:b w:val="0"/>
                <w:sz w:val="20"/>
              </w:rPr>
              <w:t>29.5</w:t>
            </w:r>
          </w:p>
        </w:tc>
        <w:tc>
          <w:tcPr>
            <w:tcW w:w="1595" w:type="dxa"/>
            <w:tcBorders>
              <w:top w:val="nil"/>
              <w:left w:val="nil"/>
              <w:bottom w:val="nil"/>
              <w:right w:val="nil"/>
            </w:tcBorders>
            <w:noWrap w:val="0"/>
            <w:tcMar>
              <w:top w:w="-1" w:type="dxa"/>
              <w:left w:w="-1" w:type="dxa"/>
              <w:bottom w:w="-1" w:type="dxa"/>
              <w:right w:w="-1" w:type="dxa"/>
            </w:tcMar>
            <w:vAlign w:val="center"/>
          </w:tcPr>
          <w:p w14:paraId="0D536C73">
            <w:pPr>
              <w:snapToGrid w:val="0"/>
              <w:spacing w:line="240" w:lineRule="auto"/>
              <w:ind w:left="0" w:leftChars="0" w:right="0" w:rightChars="0" w:firstLine="0" w:firstLineChars="0"/>
              <w:jc w:val="right"/>
              <w:rPr>
                <w:rFonts w:hint="eastAsia" w:ascii="微软雅黑" w:hAnsi="微软雅黑" w:eastAsia="微软雅黑" w:cs="微软雅黑"/>
                <w:sz w:val="20"/>
              </w:rPr>
            </w:pPr>
            <w:r>
              <w:rPr>
                <w:rFonts w:hint="eastAsia" w:ascii="微软雅黑" w:hAnsi="微软雅黑" w:eastAsia="微软雅黑" w:cs="微软雅黑"/>
                <w:b w:val="0"/>
                <w:sz w:val="20"/>
              </w:rPr>
              <w:t>8.6</w:t>
            </w:r>
          </w:p>
        </w:tc>
        <w:tc>
          <w:tcPr>
            <w:tcW w:w="1595" w:type="dxa"/>
            <w:tcBorders>
              <w:top w:val="nil"/>
              <w:left w:val="nil"/>
              <w:bottom w:val="nil"/>
              <w:right w:val="nil"/>
            </w:tcBorders>
            <w:noWrap w:val="0"/>
            <w:tcMar>
              <w:top w:w="-1" w:type="dxa"/>
              <w:left w:w="-1" w:type="dxa"/>
              <w:bottom w:w="-1" w:type="dxa"/>
              <w:right w:w="-1" w:type="dxa"/>
            </w:tcMar>
            <w:vAlign w:val="center"/>
          </w:tcPr>
          <w:p w14:paraId="784B5A16">
            <w:pPr>
              <w:snapToGrid w:val="0"/>
              <w:spacing w:line="240" w:lineRule="auto"/>
              <w:ind w:left="0" w:leftChars="0" w:right="0" w:rightChars="0" w:firstLine="0" w:firstLineChars="0"/>
              <w:jc w:val="right"/>
              <w:rPr>
                <w:rFonts w:hint="eastAsia" w:ascii="微软雅黑" w:hAnsi="微软雅黑" w:eastAsia="微软雅黑" w:cs="微软雅黑"/>
                <w:sz w:val="20"/>
              </w:rPr>
            </w:pPr>
            <w:r>
              <w:rPr>
                <w:rFonts w:hint="eastAsia" w:ascii="微软雅黑" w:hAnsi="微软雅黑" w:eastAsia="微软雅黑" w:cs="微软雅黑"/>
                <w:b w:val="0"/>
                <w:sz w:val="20"/>
              </w:rPr>
              <w:t>-2.0</w:t>
            </w:r>
          </w:p>
        </w:tc>
        <w:tc>
          <w:tcPr>
            <w:tcW w:w="970" w:type="dxa"/>
            <w:tcBorders>
              <w:top w:val="nil"/>
              <w:left w:val="nil"/>
              <w:bottom w:val="nil"/>
              <w:right w:val="nil"/>
            </w:tcBorders>
            <w:noWrap w:val="0"/>
            <w:tcMar>
              <w:top w:w="-1" w:type="dxa"/>
              <w:left w:w="-1" w:type="dxa"/>
              <w:bottom w:w="-1" w:type="dxa"/>
              <w:right w:w="-1" w:type="dxa"/>
            </w:tcMar>
            <w:vAlign w:val="center"/>
          </w:tcPr>
          <w:p w14:paraId="1A64FC68">
            <w:pPr>
              <w:snapToGrid w:val="0"/>
              <w:spacing w:line="240" w:lineRule="auto"/>
              <w:ind w:left="0" w:leftChars="0" w:right="0" w:rightChars="0" w:firstLine="0" w:firstLineChars="0"/>
              <w:jc w:val="right"/>
              <w:rPr>
                <w:rFonts w:hint="eastAsia" w:ascii="微软雅黑" w:hAnsi="微软雅黑" w:eastAsia="微软雅黑" w:cs="微软雅黑"/>
                <w:sz w:val="20"/>
              </w:rPr>
            </w:pPr>
            <w:r>
              <w:rPr>
                <w:rFonts w:hint="eastAsia" w:ascii="微软雅黑" w:hAnsi="微软雅黑" w:eastAsia="微软雅黑" w:cs="微软雅黑"/>
                <w:b w:val="0"/>
                <w:sz w:val="20"/>
              </w:rPr>
              <w:t>72.3</w:t>
            </w:r>
          </w:p>
        </w:tc>
      </w:tr>
      <w:tr w14:paraId="6CBDE887">
        <w:tblPrEx>
          <w:tblBorders>
            <w:top w:val="none" w:color="B7C3D0" w:sz="8" w:space="0"/>
            <w:left w:val="none" w:color="B7C3D0" w:sz="8" w:space="0"/>
            <w:bottom w:val="none" w:color="B7C3D0" w:sz="8" w:space="0"/>
            <w:right w:val="none" w:color="B7C3D0" w:sz="8" w:space="0"/>
            <w:insideH w:val="none" w:color="B7C3D0" w:sz="8" w:space="0"/>
            <w:insideV w:val="none" w:color="B7C3D0" w:sz="8" w:space="0"/>
          </w:tblBorders>
          <w:tblCellMar>
            <w:top w:w="0" w:type="dxa"/>
            <w:left w:w="108" w:type="dxa"/>
            <w:bottom w:w="0" w:type="dxa"/>
            <w:right w:w="108" w:type="dxa"/>
          </w:tblCellMar>
        </w:tblPrEx>
        <w:trPr>
          <w:trHeight w:val="0" w:hRule="atLeast"/>
          <w:jc w:val="center"/>
        </w:trPr>
        <w:tc>
          <w:tcPr>
            <w:tcW w:w="2150" w:type="dxa"/>
            <w:tcBorders>
              <w:top w:val="nil"/>
              <w:left w:val="nil"/>
              <w:bottom w:val="single" w:color="auto" w:sz="12" w:space="0"/>
              <w:right w:val="nil"/>
            </w:tcBorders>
            <w:noWrap w:val="0"/>
            <w:tcMar>
              <w:top w:w="-1" w:type="dxa"/>
              <w:left w:w="-1" w:type="dxa"/>
              <w:bottom w:w="-1" w:type="dxa"/>
              <w:right w:w="-1" w:type="dxa"/>
            </w:tcMar>
            <w:vAlign w:val="center"/>
          </w:tcPr>
          <w:p w14:paraId="1E2D683F">
            <w:pPr>
              <w:snapToGrid w:val="0"/>
              <w:spacing w:line="240" w:lineRule="auto"/>
              <w:ind w:left="0" w:leftChars="0" w:right="0" w:rightChars="0" w:firstLine="0" w:firstLineChars="0"/>
              <w:jc w:val="center"/>
              <w:rPr>
                <w:rFonts w:hint="eastAsia" w:ascii="微软雅黑" w:hAnsi="微软雅黑" w:eastAsia="微软雅黑" w:cs="微软雅黑"/>
                <w:sz w:val="20"/>
              </w:rPr>
            </w:pPr>
            <w:r>
              <w:rPr>
                <w:rFonts w:hint="eastAsia" w:ascii="微软雅黑" w:hAnsi="微软雅黑" w:eastAsia="微软雅黑" w:cs="微软雅黑"/>
                <w:b w:val="0"/>
                <w:sz w:val="20"/>
              </w:rPr>
              <w:t>2021—2025</w:t>
            </w:r>
          </w:p>
        </w:tc>
        <w:tc>
          <w:tcPr>
            <w:tcW w:w="1595" w:type="dxa"/>
            <w:tcBorders>
              <w:top w:val="nil"/>
              <w:left w:val="nil"/>
              <w:bottom w:val="single" w:color="auto" w:sz="12" w:space="0"/>
              <w:right w:val="nil"/>
            </w:tcBorders>
            <w:noWrap w:val="0"/>
            <w:tcMar>
              <w:top w:w="-1" w:type="dxa"/>
              <w:left w:w="-1" w:type="dxa"/>
              <w:bottom w:w="-1" w:type="dxa"/>
              <w:right w:w="-1" w:type="dxa"/>
            </w:tcMar>
            <w:vAlign w:val="center"/>
          </w:tcPr>
          <w:p w14:paraId="32FF2DE1">
            <w:pPr>
              <w:snapToGrid w:val="0"/>
              <w:spacing w:line="240" w:lineRule="auto"/>
              <w:ind w:left="0" w:leftChars="0" w:right="0" w:rightChars="0" w:firstLine="0" w:firstLineChars="0"/>
              <w:jc w:val="center"/>
              <w:rPr>
                <w:rFonts w:hint="eastAsia" w:ascii="微软雅黑" w:hAnsi="微软雅黑" w:eastAsia="微软雅黑" w:cs="微软雅黑"/>
                <w:sz w:val="20"/>
              </w:rPr>
            </w:pPr>
            <w:r>
              <w:rPr>
                <w:rFonts w:hint="eastAsia" w:ascii="微软雅黑" w:hAnsi="微软雅黑" w:eastAsia="微软雅黑" w:cs="微软雅黑"/>
                <w:b w:val="0"/>
                <w:sz w:val="20"/>
              </w:rPr>
              <w:t>35.5</w:t>
            </w:r>
          </w:p>
        </w:tc>
        <w:tc>
          <w:tcPr>
            <w:tcW w:w="1595" w:type="dxa"/>
            <w:tcBorders>
              <w:top w:val="nil"/>
              <w:left w:val="nil"/>
              <w:bottom w:val="single" w:color="auto" w:sz="12" w:space="0"/>
              <w:right w:val="nil"/>
            </w:tcBorders>
            <w:noWrap w:val="0"/>
            <w:tcMar>
              <w:top w:w="-1" w:type="dxa"/>
              <w:left w:w="-1" w:type="dxa"/>
              <w:bottom w:w="-1" w:type="dxa"/>
              <w:right w:w="-1" w:type="dxa"/>
            </w:tcMar>
            <w:vAlign w:val="center"/>
          </w:tcPr>
          <w:p w14:paraId="758D55DB">
            <w:pPr>
              <w:snapToGrid w:val="0"/>
              <w:spacing w:line="240" w:lineRule="auto"/>
              <w:ind w:left="0" w:leftChars="0" w:right="0" w:rightChars="0" w:firstLine="0" w:firstLineChars="0"/>
              <w:jc w:val="right"/>
              <w:rPr>
                <w:rFonts w:hint="eastAsia" w:ascii="微软雅黑" w:hAnsi="微软雅黑" w:eastAsia="微软雅黑" w:cs="微软雅黑"/>
                <w:sz w:val="20"/>
              </w:rPr>
            </w:pPr>
            <w:r>
              <w:rPr>
                <w:rFonts w:hint="eastAsia" w:ascii="微软雅黑" w:hAnsi="微软雅黑" w:eastAsia="微软雅黑" w:cs="微软雅黑"/>
                <w:b w:val="0"/>
                <w:sz w:val="20"/>
              </w:rPr>
              <w:t>29.8</w:t>
            </w:r>
          </w:p>
        </w:tc>
        <w:tc>
          <w:tcPr>
            <w:tcW w:w="1595" w:type="dxa"/>
            <w:tcBorders>
              <w:top w:val="nil"/>
              <w:left w:val="nil"/>
              <w:bottom w:val="single" w:color="auto" w:sz="12" w:space="0"/>
              <w:right w:val="nil"/>
            </w:tcBorders>
            <w:noWrap w:val="0"/>
            <w:tcMar>
              <w:top w:w="-1" w:type="dxa"/>
              <w:left w:w="-1" w:type="dxa"/>
              <w:bottom w:w="-1" w:type="dxa"/>
              <w:right w:w="-1" w:type="dxa"/>
            </w:tcMar>
            <w:vAlign w:val="center"/>
          </w:tcPr>
          <w:p w14:paraId="4F1EC2C0">
            <w:pPr>
              <w:snapToGrid w:val="0"/>
              <w:spacing w:line="240" w:lineRule="auto"/>
              <w:ind w:left="0" w:leftChars="0" w:right="0" w:rightChars="0" w:firstLine="0" w:firstLineChars="0"/>
              <w:jc w:val="right"/>
              <w:rPr>
                <w:rFonts w:hint="eastAsia" w:ascii="微软雅黑" w:hAnsi="微软雅黑" w:eastAsia="微软雅黑" w:cs="微软雅黑"/>
                <w:sz w:val="20"/>
              </w:rPr>
            </w:pPr>
            <w:r>
              <w:rPr>
                <w:rFonts w:hint="eastAsia" w:ascii="微软雅黑" w:hAnsi="微软雅黑" w:eastAsia="微软雅黑" w:cs="微软雅黑"/>
                <w:b w:val="0"/>
                <w:sz w:val="20"/>
              </w:rPr>
              <w:t>8.8</w:t>
            </w:r>
          </w:p>
        </w:tc>
        <w:tc>
          <w:tcPr>
            <w:tcW w:w="1595" w:type="dxa"/>
            <w:tcBorders>
              <w:top w:val="nil"/>
              <w:left w:val="nil"/>
              <w:bottom w:val="single" w:color="auto" w:sz="12" w:space="0"/>
              <w:right w:val="nil"/>
            </w:tcBorders>
            <w:noWrap w:val="0"/>
            <w:tcMar>
              <w:top w:w="-1" w:type="dxa"/>
              <w:left w:w="-1" w:type="dxa"/>
              <w:bottom w:w="-1" w:type="dxa"/>
              <w:right w:w="-1" w:type="dxa"/>
            </w:tcMar>
            <w:vAlign w:val="center"/>
          </w:tcPr>
          <w:p w14:paraId="4D021056">
            <w:pPr>
              <w:snapToGrid w:val="0"/>
              <w:spacing w:line="240" w:lineRule="auto"/>
              <w:ind w:left="0" w:leftChars="0" w:right="0" w:rightChars="0" w:firstLine="0" w:firstLineChars="0"/>
              <w:jc w:val="right"/>
              <w:rPr>
                <w:rFonts w:hint="eastAsia" w:ascii="微软雅黑" w:hAnsi="微软雅黑" w:eastAsia="微软雅黑" w:cs="微软雅黑"/>
                <w:sz w:val="20"/>
              </w:rPr>
            </w:pPr>
            <w:r>
              <w:rPr>
                <w:rFonts w:hint="eastAsia" w:ascii="微软雅黑" w:hAnsi="微软雅黑" w:eastAsia="微软雅黑" w:cs="微软雅黑"/>
                <w:b w:val="0"/>
                <w:sz w:val="20"/>
              </w:rPr>
              <w:t>-2.1</w:t>
            </w:r>
          </w:p>
        </w:tc>
        <w:tc>
          <w:tcPr>
            <w:tcW w:w="970" w:type="dxa"/>
            <w:tcBorders>
              <w:top w:val="nil"/>
              <w:left w:val="nil"/>
              <w:bottom w:val="single" w:color="auto" w:sz="12" w:space="0"/>
              <w:right w:val="nil"/>
            </w:tcBorders>
            <w:noWrap w:val="0"/>
            <w:tcMar>
              <w:top w:w="-1" w:type="dxa"/>
              <w:left w:w="-1" w:type="dxa"/>
              <w:bottom w:w="-1" w:type="dxa"/>
              <w:right w:w="-1" w:type="dxa"/>
            </w:tcMar>
            <w:vAlign w:val="center"/>
          </w:tcPr>
          <w:p w14:paraId="5589FFC4">
            <w:pPr>
              <w:snapToGrid w:val="0"/>
              <w:spacing w:line="240" w:lineRule="auto"/>
              <w:ind w:left="0" w:leftChars="0" w:right="0" w:rightChars="0" w:firstLine="0" w:firstLineChars="0"/>
              <w:jc w:val="right"/>
              <w:rPr>
                <w:rFonts w:hint="eastAsia" w:ascii="微软雅黑" w:hAnsi="微软雅黑" w:eastAsia="微软雅黑" w:cs="微软雅黑"/>
                <w:sz w:val="20"/>
              </w:rPr>
            </w:pPr>
            <w:r>
              <w:rPr>
                <w:rFonts w:hint="eastAsia" w:ascii="微软雅黑" w:hAnsi="微软雅黑" w:eastAsia="微软雅黑" w:cs="微软雅黑"/>
                <w:b w:val="0"/>
                <w:sz w:val="20"/>
              </w:rPr>
              <w:t>72.0</w:t>
            </w:r>
          </w:p>
        </w:tc>
      </w:tr>
    </w:tbl>
    <w:p w14:paraId="0C79251A">
      <w:pPr>
        <w:pStyle w:val="19"/>
        <w:widowControl/>
        <w:rPr>
          <w:rFonts w:ascii="Times New Roman" w:hAnsi="Calibri" w:eastAsia="宋体" w:cs="Times New Roman"/>
          <w:sz w:val="24"/>
        </w:rPr>
      </w:pPr>
      <w:r>
        <w:rPr>
          <w:rFonts w:ascii="Times New Roman" w:hAnsi="Calibri" w:eastAsia="宋体" w:cs="Times New Roman"/>
          <w:sz w:val="24"/>
        </w:rPr>
        <w:t>表注：单位为万吨CO2e；表中数值来自用户初稿测算结果，本次修订仅完成学术格式化处理，未独立复算。</w:t>
      </w:r>
    </w:p>
    <w:p w14:paraId="7F8F4B60">
      <w:pPr>
        <w:pStyle w:val="19"/>
        <w:widowControl/>
        <w:rPr>
          <w:rFonts w:ascii="Times New Roman" w:hAnsi="Calibri" w:eastAsia="宋体" w:cs="Times New Roman"/>
          <w:sz w:val="24"/>
        </w:rPr>
      </w:pPr>
      <w:r>
        <w:rPr>
          <w:rFonts w:ascii="Times New Roman" w:hAnsi="Calibri" w:eastAsia="宋体" w:cs="Times New Roman"/>
          <w:sz w:val="24"/>
        </w:rPr>
        <w:t>从结构上看，初稿将化肥施用和稻田甲烷识别为寿县农业碳排放的两大主来源，这一判断与国内同类研究基本一致，也与寿县稻麦轮作和高粮食产出特征相符。化肥投入在高产稳产县域通常具有较高的排放贡献，而稻田甲烷则是稻作系统不可忽视的非二氧化碳温室气体来源。能源消耗占比较小但呈缓慢上升态势，土壤碳库则表现为净碳汇。</w:t>
      </w:r>
    </w:p>
    <w:p w14:paraId="4B35609D">
      <w:pPr>
        <w:pStyle w:val="4"/>
        <w:keepNext/>
        <w:widowControl/>
        <w:numPr>
          <w:ilvl w:val="0"/>
          <w:numId w:val="0"/>
        </w:numPr>
        <w:topLinePunct w:val="0"/>
        <w:ind w:leftChars="0"/>
        <w:rPr>
          <w:rFonts w:hint="eastAsia" w:ascii="楷体" w:hAnsi="楷体" w:eastAsia="楷体" w:cs="楷体"/>
          <w:b w:val="0"/>
        </w:rPr>
      </w:pPr>
      <w:bookmarkStart w:id="30" w:name="_Toc28443"/>
      <w:bookmarkStart w:id="31" w:name="_Toc31337"/>
      <w:r>
        <w:rPr>
          <w:rFonts w:hint="eastAsia"/>
          <w:lang w:eastAsia="zh-CN"/>
        </w:rPr>
        <w:t>（二）</w:t>
      </w:r>
      <w:r>
        <w:t>空间格局分析</w:t>
      </w:r>
      <w:bookmarkEnd w:id="30"/>
      <w:bookmarkEnd w:id="31"/>
    </w:p>
    <w:p w14:paraId="5264CFDE">
      <w:pPr>
        <w:pStyle w:val="19"/>
        <w:widowControl/>
        <w:rPr>
          <w:rFonts w:ascii="Times New Roman" w:hAnsi="Calibri" w:eastAsia="宋体" w:cs="Times New Roman"/>
          <w:sz w:val="24"/>
        </w:rPr>
      </w:pPr>
      <w:r>
        <w:rPr>
          <w:rFonts w:ascii="Times New Roman" w:hAnsi="Calibri" w:eastAsia="宋体" w:cs="Times New Roman"/>
          <w:sz w:val="24"/>
        </w:rPr>
        <w:t>初稿按照乡镇尺度对2025年农业碳排放进行排序，指出瓦埠湖沿岸乡镇碳排放量和碳排放强度较高，并呈现“中北部高、南部低”的总体格局。由于乡镇层面原始底表和空间权重矩阵未随文提供，本稿保留其结果表达方式，并建议正式提交前以乡镇统计、土地利用和作物面积底图重建空间数据库。</w:t>
      </w:r>
    </w:p>
    <w:tbl>
      <w:tblPr>
        <w:tblStyle w:val="35"/>
        <w:tblW w:w="5000" w:type="pct"/>
        <w:tblInd w:w="0" w:type="dxa"/>
        <w:tblBorders>
          <w:top w:val="single" w:color="B7C3D0" w:sz="8" w:space="0"/>
          <w:left w:val="single" w:color="B7C3D0" w:sz="8" w:space="0"/>
          <w:bottom w:val="single" w:color="B7C3D0" w:sz="8" w:space="0"/>
          <w:right w:val="single" w:color="B7C3D0" w:sz="8" w:space="0"/>
          <w:insideH w:val="single" w:color="B7C3D0" w:sz="8" w:space="0"/>
          <w:insideV w:val="single" w:color="B7C3D0" w:sz="8" w:space="0"/>
        </w:tblBorders>
        <w:tblLayout w:type="autofit"/>
        <w:tblCellMar>
          <w:top w:w="0" w:type="dxa"/>
          <w:left w:w="108" w:type="dxa"/>
          <w:bottom w:w="0" w:type="dxa"/>
          <w:right w:w="108" w:type="dxa"/>
        </w:tblCellMar>
      </w:tblPr>
      <w:tblGrid>
        <w:gridCol w:w="2377"/>
        <w:gridCol w:w="2377"/>
        <w:gridCol w:w="2377"/>
        <w:gridCol w:w="2377"/>
      </w:tblGrid>
      <w:tr w14:paraId="791A8B71">
        <w:tblPrEx>
          <w:tblBorders>
            <w:top w:val="single" w:color="B7C3D0" w:sz="8" w:space="0"/>
            <w:left w:val="single" w:color="B7C3D0" w:sz="8" w:space="0"/>
            <w:bottom w:val="single" w:color="B7C3D0" w:sz="8" w:space="0"/>
            <w:right w:val="single" w:color="B7C3D0" w:sz="8" w:space="0"/>
            <w:insideH w:val="single" w:color="B7C3D0" w:sz="8" w:space="0"/>
            <w:insideV w:val="single" w:color="B7C3D0" w:sz="8" w:space="0"/>
          </w:tblBorders>
          <w:tblCellMar>
            <w:top w:w="0" w:type="dxa"/>
            <w:left w:w="108" w:type="dxa"/>
            <w:bottom w:w="0" w:type="dxa"/>
            <w:right w:w="108" w:type="dxa"/>
          </w:tblCellMar>
        </w:tblPrEx>
        <w:tc>
          <w:tcPr>
            <w:tcW w:w="1250" w:type="pct"/>
            <w:shd w:val="clear" w:color="auto" w:fill="D9EAF4"/>
            <w:vAlign w:val="center"/>
          </w:tcPr>
          <w:p w14:paraId="7247DB3D">
            <w:pPr>
              <w:jc w:val="center"/>
              <w:rPr>
                <w:rFonts w:hint="eastAsia" w:ascii="微软雅黑" w:hAnsi="微软雅黑" w:eastAsia="微软雅黑" w:cs="微软雅黑"/>
              </w:rPr>
            </w:pPr>
            <w:r>
              <w:rPr>
                <w:rFonts w:hint="eastAsia" w:ascii="微软雅黑" w:hAnsi="微软雅黑" w:eastAsia="微软雅黑" w:cs="微软雅黑"/>
                <w:b/>
                <w:sz w:val="20"/>
              </w:rPr>
              <w:t>乡镇</w:t>
            </w:r>
          </w:p>
        </w:tc>
        <w:tc>
          <w:tcPr>
            <w:tcW w:w="1250" w:type="pct"/>
            <w:shd w:val="clear" w:color="auto" w:fill="D9EAF4"/>
            <w:vAlign w:val="center"/>
          </w:tcPr>
          <w:p w14:paraId="135EE681">
            <w:pPr>
              <w:jc w:val="center"/>
              <w:rPr>
                <w:rFonts w:hint="eastAsia" w:ascii="微软雅黑" w:hAnsi="微软雅黑" w:eastAsia="微软雅黑" w:cs="微软雅黑"/>
              </w:rPr>
            </w:pPr>
            <w:r>
              <w:rPr>
                <w:rFonts w:hint="eastAsia" w:ascii="微软雅黑" w:hAnsi="微软雅黑" w:eastAsia="微软雅黑" w:cs="微软雅黑"/>
                <w:b/>
                <w:sz w:val="20"/>
              </w:rPr>
              <w:t>碳排放量</w:t>
            </w:r>
          </w:p>
        </w:tc>
        <w:tc>
          <w:tcPr>
            <w:tcW w:w="1250" w:type="pct"/>
            <w:shd w:val="clear" w:color="auto" w:fill="D9EAF4"/>
            <w:vAlign w:val="center"/>
          </w:tcPr>
          <w:p w14:paraId="7A4BD197">
            <w:pPr>
              <w:jc w:val="center"/>
              <w:rPr>
                <w:rFonts w:hint="eastAsia" w:ascii="微软雅黑" w:hAnsi="微软雅黑" w:eastAsia="微软雅黑" w:cs="微软雅黑"/>
              </w:rPr>
            </w:pPr>
            <w:r>
              <w:rPr>
                <w:rFonts w:hint="eastAsia" w:ascii="微软雅黑" w:hAnsi="微软雅黑" w:eastAsia="微软雅黑" w:cs="微软雅黑"/>
                <w:b/>
                <w:sz w:val="20"/>
              </w:rPr>
              <w:t>强度</w:t>
            </w:r>
          </w:p>
        </w:tc>
        <w:tc>
          <w:tcPr>
            <w:tcW w:w="1250" w:type="pct"/>
            <w:shd w:val="clear" w:color="auto" w:fill="D9EAF4"/>
            <w:vAlign w:val="center"/>
          </w:tcPr>
          <w:p w14:paraId="15EB2F95">
            <w:pPr>
              <w:jc w:val="center"/>
              <w:rPr>
                <w:rFonts w:hint="eastAsia" w:ascii="微软雅黑" w:hAnsi="微软雅黑" w:eastAsia="微软雅黑" w:cs="微软雅黑"/>
              </w:rPr>
            </w:pPr>
            <w:r>
              <w:rPr>
                <w:rFonts w:hint="eastAsia" w:ascii="微软雅黑" w:hAnsi="微软雅黑" w:eastAsia="微软雅黑" w:cs="微软雅黑"/>
                <w:b/>
                <w:sz w:val="20"/>
              </w:rPr>
              <w:t>潜力等级</w:t>
            </w:r>
          </w:p>
        </w:tc>
      </w:tr>
      <w:tr w14:paraId="0C4B616C">
        <w:tblPrEx>
          <w:tblBorders>
            <w:top w:val="single" w:color="B7C3D0" w:sz="8" w:space="0"/>
            <w:left w:val="single" w:color="B7C3D0" w:sz="8" w:space="0"/>
            <w:bottom w:val="single" w:color="B7C3D0" w:sz="8" w:space="0"/>
            <w:right w:val="single" w:color="B7C3D0" w:sz="8" w:space="0"/>
            <w:insideH w:val="single" w:color="B7C3D0" w:sz="8" w:space="0"/>
            <w:insideV w:val="single" w:color="B7C3D0" w:sz="8" w:space="0"/>
          </w:tblBorders>
          <w:tblCellMar>
            <w:top w:w="0" w:type="dxa"/>
            <w:left w:w="108" w:type="dxa"/>
            <w:bottom w:w="0" w:type="dxa"/>
            <w:right w:w="108" w:type="dxa"/>
          </w:tblCellMar>
        </w:tblPrEx>
        <w:tc>
          <w:tcPr>
            <w:tcW w:w="1250" w:type="pct"/>
            <w:vAlign w:val="center"/>
          </w:tcPr>
          <w:p w14:paraId="4C35607A">
            <w:pPr>
              <w:jc w:val="center"/>
              <w:rPr>
                <w:rFonts w:hint="eastAsia" w:ascii="微软雅黑" w:hAnsi="微软雅黑" w:eastAsia="微软雅黑" w:cs="微软雅黑"/>
              </w:rPr>
            </w:pPr>
            <w:r>
              <w:rPr>
                <w:rFonts w:hint="eastAsia" w:ascii="微软雅黑" w:hAnsi="微软雅黑" w:eastAsia="微软雅黑" w:cs="微软雅黑"/>
                <w:b w:val="0"/>
                <w:sz w:val="20"/>
              </w:rPr>
              <w:t>瓦埠镇</w:t>
            </w:r>
          </w:p>
        </w:tc>
        <w:tc>
          <w:tcPr>
            <w:tcW w:w="1250" w:type="pct"/>
            <w:vAlign w:val="center"/>
          </w:tcPr>
          <w:p w14:paraId="44E743A9">
            <w:pPr>
              <w:jc w:val="center"/>
              <w:rPr>
                <w:rFonts w:hint="eastAsia" w:ascii="微软雅黑" w:hAnsi="微软雅黑" w:eastAsia="微软雅黑" w:cs="微软雅黑"/>
              </w:rPr>
            </w:pPr>
            <w:r>
              <w:rPr>
                <w:rFonts w:hint="eastAsia" w:ascii="微软雅黑" w:hAnsi="微软雅黑" w:eastAsia="微软雅黑" w:cs="微软雅黑"/>
                <w:b w:val="0"/>
                <w:sz w:val="20"/>
              </w:rPr>
              <w:t>4.82</w:t>
            </w:r>
          </w:p>
        </w:tc>
        <w:tc>
          <w:tcPr>
            <w:tcW w:w="1250" w:type="pct"/>
            <w:vAlign w:val="center"/>
          </w:tcPr>
          <w:p w14:paraId="2E4E7D12">
            <w:pPr>
              <w:jc w:val="center"/>
              <w:rPr>
                <w:rFonts w:hint="eastAsia" w:ascii="微软雅黑" w:hAnsi="微软雅黑" w:eastAsia="微软雅黑" w:cs="微软雅黑"/>
              </w:rPr>
            </w:pPr>
            <w:r>
              <w:rPr>
                <w:rFonts w:hint="eastAsia" w:ascii="微软雅黑" w:hAnsi="微软雅黑" w:eastAsia="微软雅黑" w:cs="微软雅黑"/>
                <w:b w:val="0"/>
                <w:sz w:val="20"/>
              </w:rPr>
              <w:t>3.56</w:t>
            </w:r>
          </w:p>
        </w:tc>
        <w:tc>
          <w:tcPr>
            <w:tcW w:w="1250" w:type="pct"/>
            <w:vAlign w:val="center"/>
          </w:tcPr>
          <w:p w14:paraId="02EA8AD8">
            <w:pPr>
              <w:jc w:val="center"/>
              <w:rPr>
                <w:rFonts w:hint="eastAsia" w:ascii="微软雅黑" w:hAnsi="微软雅黑" w:eastAsia="微软雅黑" w:cs="微软雅黑"/>
              </w:rPr>
            </w:pPr>
            <w:r>
              <w:rPr>
                <w:rFonts w:hint="eastAsia" w:ascii="微软雅黑" w:hAnsi="微软雅黑" w:eastAsia="微软雅黑" w:cs="微软雅黑"/>
                <w:b w:val="0"/>
                <w:sz w:val="20"/>
              </w:rPr>
              <w:t>高</w:t>
            </w:r>
          </w:p>
        </w:tc>
      </w:tr>
      <w:tr w14:paraId="7623BD46">
        <w:tblPrEx>
          <w:tblBorders>
            <w:top w:val="single" w:color="B7C3D0" w:sz="8" w:space="0"/>
            <w:left w:val="single" w:color="B7C3D0" w:sz="8" w:space="0"/>
            <w:bottom w:val="single" w:color="B7C3D0" w:sz="8" w:space="0"/>
            <w:right w:val="single" w:color="B7C3D0" w:sz="8" w:space="0"/>
            <w:insideH w:val="single" w:color="B7C3D0" w:sz="8" w:space="0"/>
            <w:insideV w:val="single" w:color="B7C3D0" w:sz="8" w:space="0"/>
          </w:tblBorders>
          <w:tblCellMar>
            <w:top w:w="0" w:type="dxa"/>
            <w:left w:w="108" w:type="dxa"/>
            <w:bottom w:w="0" w:type="dxa"/>
            <w:right w:w="108" w:type="dxa"/>
          </w:tblCellMar>
        </w:tblPrEx>
        <w:tc>
          <w:tcPr>
            <w:tcW w:w="1250" w:type="pct"/>
            <w:vAlign w:val="center"/>
          </w:tcPr>
          <w:p w14:paraId="6ED9DD10">
            <w:pPr>
              <w:jc w:val="center"/>
              <w:rPr>
                <w:rFonts w:hint="eastAsia" w:ascii="微软雅黑" w:hAnsi="微软雅黑" w:eastAsia="微软雅黑" w:cs="微软雅黑"/>
              </w:rPr>
            </w:pPr>
            <w:r>
              <w:rPr>
                <w:rFonts w:hint="eastAsia" w:ascii="微软雅黑" w:hAnsi="微软雅黑" w:eastAsia="微软雅黑" w:cs="微软雅黑"/>
                <w:b w:val="0"/>
                <w:sz w:val="20"/>
              </w:rPr>
              <w:t>安丰镇</w:t>
            </w:r>
          </w:p>
        </w:tc>
        <w:tc>
          <w:tcPr>
            <w:tcW w:w="1250" w:type="pct"/>
            <w:vAlign w:val="center"/>
          </w:tcPr>
          <w:p w14:paraId="24C092BD">
            <w:pPr>
              <w:jc w:val="center"/>
              <w:rPr>
                <w:rFonts w:hint="eastAsia" w:ascii="微软雅黑" w:hAnsi="微软雅黑" w:eastAsia="微软雅黑" w:cs="微软雅黑"/>
              </w:rPr>
            </w:pPr>
            <w:r>
              <w:rPr>
                <w:rFonts w:hint="eastAsia" w:ascii="微软雅黑" w:hAnsi="微软雅黑" w:eastAsia="微软雅黑" w:cs="微软雅黑"/>
                <w:b w:val="0"/>
                <w:sz w:val="20"/>
              </w:rPr>
              <w:t>4.56</w:t>
            </w:r>
          </w:p>
        </w:tc>
        <w:tc>
          <w:tcPr>
            <w:tcW w:w="1250" w:type="pct"/>
            <w:vAlign w:val="center"/>
          </w:tcPr>
          <w:p w14:paraId="6C691FFE">
            <w:pPr>
              <w:jc w:val="center"/>
              <w:rPr>
                <w:rFonts w:hint="eastAsia" w:ascii="微软雅黑" w:hAnsi="微软雅黑" w:eastAsia="微软雅黑" w:cs="微软雅黑"/>
              </w:rPr>
            </w:pPr>
            <w:r>
              <w:rPr>
                <w:rFonts w:hint="eastAsia" w:ascii="微软雅黑" w:hAnsi="微软雅黑" w:eastAsia="微软雅黑" w:cs="微软雅黑"/>
                <w:b w:val="0"/>
                <w:sz w:val="20"/>
              </w:rPr>
              <w:t>3.42</w:t>
            </w:r>
          </w:p>
        </w:tc>
        <w:tc>
          <w:tcPr>
            <w:tcW w:w="1250" w:type="pct"/>
            <w:vAlign w:val="center"/>
          </w:tcPr>
          <w:p w14:paraId="576350C6">
            <w:pPr>
              <w:jc w:val="center"/>
              <w:rPr>
                <w:rFonts w:hint="eastAsia" w:ascii="微软雅黑" w:hAnsi="微软雅黑" w:eastAsia="微软雅黑" w:cs="微软雅黑"/>
              </w:rPr>
            </w:pPr>
            <w:r>
              <w:rPr>
                <w:rFonts w:hint="eastAsia" w:ascii="微软雅黑" w:hAnsi="微软雅黑" w:eastAsia="微软雅黑" w:cs="微软雅黑"/>
                <w:b w:val="0"/>
                <w:sz w:val="20"/>
              </w:rPr>
              <w:t>高</w:t>
            </w:r>
          </w:p>
        </w:tc>
      </w:tr>
      <w:tr w14:paraId="1D694B44">
        <w:tblPrEx>
          <w:tblBorders>
            <w:top w:val="single" w:color="B7C3D0" w:sz="8" w:space="0"/>
            <w:left w:val="single" w:color="B7C3D0" w:sz="8" w:space="0"/>
            <w:bottom w:val="single" w:color="B7C3D0" w:sz="8" w:space="0"/>
            <w:right w:val="single" w:color="B7C3D0" w:sz="8" w:space="0"/>
            <w:insideH w:val="single" w:color="B7C3D0" w:sz="8" w:space="0"/>
            <w:insideV w:val="single" w:color="B7C3D0" w:sz="8" w:space="0"/>
          </w:tblBorders>
          <w:tblCellMar>
            <w:top w:w="0" w:type="dxa"/>
            <w:left w:w="108" w:type="dxa"/>
            <w:bottom w:w="0" w:type="dxa"/>
            <w:right w:w="108" w:type="dxa"/>
          </w:tblCellMar>
        </w:tblPrEx>
        <w:tc>
          <w:tcPr>
            <w:tcW w:w="1250" w:type="pct"/>
            <w:vAlign w:val="center"/>
          </w:tcPr>
          <w:p w14:paraId="35F15AC2">
            <w:pPr>
              <w:jc w:val="center"/>
              <w:rPr>
                <w:rFonts w:hint="eastAsia" w:ascii="微软雅黑" w:hAnsi="微软雅黑" w:eastAsia="微软雅黑" w:cs="微软雅黑"/>
              </w:rPr>
            </w:pPr>
            <w:r>
              <w:rPr>
                <w:rFonts w:hint="eastAsia" w:ascii="微软雅黑" w:hAnsi="微软雅黑" w:eastAsia="微软雅黑" w:cs="微软雅黑"/>
                <w:b w:val="0"/>
                <w:sz w:val="20"/>
              </w:rPr>
              <w:t>隐贤镇</w:t>
            </w:r>
          </w:p>
        </w:tc>
        <w:tc>
          <w:tcPr>
            <w:tcW w:w="1250" w:type="pct"/>
            <w:vAlign w:val="center"/>
          </w:tcPr>
          <w:p w14:paraId="632D67AD">
            <w:pPr>
              <w:jc w:val="center"/>
              <w:rPr>
                <w:rFonts w:hint="eastAsia" w:ascii="微软雅黑" w:hAnsi="微软雅黑" w:eastAsia="微软雅黑" w:cs="微软雅黑"/>
              </w:rPr>
            </w:pPr>
            <w:r>
              <w:rPr>
                <w:rFonts w:hint="eastAsia" w:ascii="微软雅黑" w:hAnsi="微软雅黑" w:eastAsia="微软雅黑" w:cs="微软雅黑"/>
                <w:b w:val="0"/>
                <w:sz w:val="20"/>
              </w:rPr>
              <w:t>4.23</w:t>
            </w:r>
          </w:p>
        </w:tc>
        <w:tc>
          <w:tcPr>
            <w:tcW w:w="1250" w:type="pct"/>
            <w:vAlign w:val="center"/>
          </w:tcPr>
          <w:p w14:paraId="5D160E32">
            <w:pPr>
              <w:jc w:val="center"/>
              <w:rPr>
                <w:rFonts w:hint="eastAsia" w:ascii="微软雅黑" w:hAnsi="微软雅黑" w:eastAsia="微软雅黑" w:cs="微软雅黑"/>
              </w:rPr>
            </w:pPr>
            <w:r>
              <w:rPr>
                <w:rFonts w:hint="eastAsia" w:ascii="微软雅黑" w:hAnsi="微软雅黑" w:eastAsia="微软雅黑" w:cs="微软雅黑"/>
                <w:b w:val="0"/>
                <w:sz w:val="20"/>
              </w:rPr>
              <w:t>3.38</w:t>
            </w:r>
          </w:p>
        </w:tc>
        <w:tc>
          <w:tcPr>
            <w:tcW w:w="1250" w:type="pct"/>
            <w:vAlign w:val="center"/>
          </w:tcPr>
          <w:p w14:paraId="27D2527C">
            <w:pPr>
              <w:jc w:val="center"/>
              <w:rPr>
                <w:rFonts w:hint="eastAsia" w:ascii="微软雅黑" w:hAnsi="微软雅黑" w:eastAsia="微软雅黑" w:cs="微软雅黑"/>
              </w:rPr>
            </w:pPr>
            <w:r>
              <w:rPr>
                <w:rFonts w:hint="eastAsia" w:ascii="微软雅黑" w:hAnsi="微软雅黑" w:eastAsia="微软雅黑" w:cs="微软雅黑"/>
                <w:b w:val="0"/>
                <w:sz w:val="20"/>
              </w:rPr>
              <w:t>高</w:t>
            </w:r>
          </w:p>
        </w:tc>
      </w:tr>
      <w:tr w14:paraId="2EFC2934">
        <w:tblPrEx>
          <w:tblBorders>
            <w:top w:val="single" w:color="B7C3D0" w:sz="8" w:space="0"/>
            <w:left w:val="single" w:color="B7C3D0" w:sz="8" w:space="0"/>
            <w:bottom w:val="single" w:color="B7C3D0" w:sz="8" w:space="0"/>
            <w:right w:val="single" w:color="B7C3D0" w:sz="8" w:space="0"/>
            <w:insideH w:val="single" w:color="B7C3D0" w:sz="8" w:space="0"/>
            <w:insideV w:val="single" w:color="B7C3D0" w:sz="8" w:space="0"/>
          </w:tblBorders>
          <w:tblCellMar>
            <w:top w:w="0" w:type="dxa"/>
            <w:left w:w="108" w:type="dxa"/>
            <w:bottom w:w="0" w:type="dxa"/>
            <w:right w:w="108" w:type="dxa"/>
          </w:tblCellMar>
        </w:tblPrEx>
        <w:tc>
          <w:tcPr>
            <w:tcW w:w="1250" w:type="pct"/>
            <w:vAlign w:val="center"/>
          </w:tcPr>
          <w:p w14:paraId="68334A3A">
            <w:pPr>
              <w:jc w:val="center"/>
              <w:rPr>
                <w:rFonts w:hint="eastAsia" w:ascii="微软雅黑" w:hAnsi="微软雅黑" w:eastAsia="微软雅黑" w:cs="微软雅黑"/>
              </w:rPr>
            </w:pPr>
            <w:r>
              <w:rPr>
                <w:rFonts w:hint="eastAsia" w:ascii="微软雅黑" w:hAnsi="微软雅黑" w:eastAsia="微软雅黑" w:cs="微软雅黑"/>
                <w:b w:val="0"/>
                <w:sz w:val="20"/>
              </w:rPr>
              <w:t>迎河镇</w:t>
            </w:r>
          </w:p>
        </w:tc>
        <w:tc>
          <w:tcPr>
            <w:tcW w:w="1250" w:type="pct"/>
            <w:vAlign w:val="center"/>
          </w:tcPr>
          <w:p w14:paraId="5F6745D1">
            <w:pPr>
              <w:jc w:val="center"/>
              <w:rPr>
                <w:rFonts w:hint="eastAsia" w:ascii="微软雅黑" w:hAnsi="微软雅黑" w:eastAsia="微软雅黑" w:cs="微软雅黑"/>
              </w:rPr>
            </w:pPr>
            <w:r>
              <w:rPr>
                <w:rFonts w:hint="eastAsia" w:ascii="微软雅黑" w:hAnsi="微软雅黑" w:eastAsia="微软雅黑" w:cs="微软雅黑"/>
                <w:b w:val="0"/>
                <w:sz w:val="20"/>
              </w:rPr>
              <w:t>4.01</w:t>
            </w:r>
          </w:p>
        </w:tc>
        <w:tc>
          <w:tcPr>
            <w:tcW w:w="1250" w:type="pct"/>
            <w:vAlign w:val="center"/>
          </w:tcPr>
          <w:p w14:paraId="61AD1455">
            <w:pPr>
              <w:jc w:val="center"/>
              <w:rPr>
                <w:rFonts w:hint="eastAsia" w:ascii="微软雅黑" w:hAnsi="微软雅黑" w:eastAsia="微软雅黑" w:cs="微软雅黑"/>
              </w:rPr>
            </w:pPr>
            <w:r>
              <w:rPr>
                <w:rFonts w:hint="eastAsia" w:ascii="微软雅黑" w:hAnsi="微软雅黑" w:eastAsia="微软雅黑" w:cs="微软雅黑"/>
                <w:b w:val="0"/>
                <w:sz w:val="20"/>
              </w:rPr>
              <w:t>3.25</w:t>
            </w:r>
          </w:p>
        </w:tc>
        <w:tc>
          <w:tcPr>
            <w:tcW w:w="1250" w:type="pct"/>
            <w:vAlign w:val="center"/>
          </w:tcPr>
          <w:p w14:paraId="6492D6A7">
            <w:pPr>
              <w:jc w:val="center"/>
              <w:rPr>
                <w:rFonts w:hint="eastAsia" w:ascii="微软雅黑" w:hAnsi="微软雅黑" w:eastAsia="微软雅黑" w:cs="微软雅黑"/>
              </w:rPr>
            </w:pPr>
            <w:r>
              <w:rPr>
                <w:rFonts w:hint="eastAsia" w:ascii="微软雅黑" w:hAnsi="微软雅黑" w:eastAsia="微软雅黑" w:cs="微软雅黑"/>
                <w:b w:val="0"/>
                <w:sz w:val="20"/>
              </w:rPr>
              <w:t>中高</w:t>
            </w:r>
          </w:p>
        </w:tc>
      </w:tr>
      <w:tr w14:paraId="404B5256">
        <w:tblPrEx>
          <w:tblBorders>
            <w:top w:val="single" w:color="B7C3D0" w:sz="8" w:space="0"/>
            <w:left w:val="single" w:color="B7C3D0" w:sz="8" w:space="0"/>
            <w:bottom w:val="single" w:color="B7C3D0" w:sz="8" w:space="0"/>
            <w:right w:val="single" w:color="B7C3D0" w:sz="8" w:space="0"/>
            <w:insideH w:val="single" w:color="B7C3D0" w:sz="8" w:space="0"/>
            <w:insideV w:val="single" w:color="B7C3D0" w:sz="8" w:space="0"/>
          </w:tblBorders>
          <w:tblCellMar>
            <w:top w:w="0" w:type="dxa"/>
            <w:left w:w="108" w:type="dxa"/>
            <w:bottom w:w="0" w:type="dxa"/>
            <w:right w:w="108" w:type="dxa"/>
          </w:tblCellMar>
        </w:tblPrEx>
        <w:tc>
          <w:tcPr>
            <w:tcW w:w="1250" w:type="pct"/>
            <w:vAlign w:val="center"/>
          </w:tcPr>
          <w:p w14:paraId="0E0071D2">
            <w:pPr>
              <w:jc w:val="center"/>
              <w:rPr>
                <w:rFonts w:hint="eastAsia" w:ascii="微软雅黑" w:hAnsi="微软雅黑" w:eastAsia="微软雅黑" w:cs="微软雅黑"/>
              </w:rPr>
            </w:pPr>
            <w:r>
              <w:rPr>
                <w:rFonts w:hint="eastAsia" w:ascii="微软雅黑" w:hAnsi="微软雅黑" w:eastAsia="微软雅黑" w:cs="微软雅黑"/>
                <w:b w:val="0"/>
                <w:sz w:val="20"/>
              </w:rPr>
              <w:t>正阳关镇</w:t>
            </w:r>
          </w:p>
        </w:tc>
        <w:tc>
          <w:tcPr>
            <w:tcW w:w="1250" w:type="pct"/>
            <w:vAlign w:val="center"/>
          </w:tcPr>
          <w:p w14:paraId="24007E70">
            <w:pPr>
              <w:jc w:val="center"/>
              <w:rPr>
                <w:rFonts w:hint="eastAsia" w:ascii="微软雅黑" w:hAnsi="微软雅黑" w:eastAsia="微软雅黑" w:cs="微软雅黑"/>
              </w:rPr>
            </w:pPr>
            <w:r>
              <w:rPr>
                <w:rFonts w:hint="eastAsia" w:ascii="微软雅黑" w:hAnsi="微软雅黑" w:eastAsia="微软雅黑" w:cs="微软雅黑"/>
                <w:b w:val="0"/>
                <w:sz w:val="20"/>
              </w:rPr>
              <w:t>3.89</w:t>
            </w:r>
          </w:p>
        </w:tc>
        <w:tc>
          <w:tcPr>
            <w:tcW w:w="1250" w:type="pct"/>
            <w:vAlign w:val="center"/>
          </w:tcPr>
          <w:p w14:paraId="49ED7723">
            <w:pPr>
              <w:jc w:val="center"/>
              <w:rPr>
                <w:rFonts w:hint="eastAsia" w:ascii="微软雅黑" w:hAnsi="微软雅黑" w:eastAsia="微软雅黑" w:cs="微软雅黑"/>
              </w:rPr>
            </w:pPr>
            <w:r>
              <w:rPr>
                <w:rFonts w:hint="eastAsia" w:ascii="微软雅黑" w:hAnsi="微软雅黑" w:eastAsia="微软雅黑" w:cs="微软雅黑"/>
                <w:b w:val="0"/>
                <w:sz w:val="20"/>
              </w:rPr>
              <w:t>3.18</w:t>
            </w:r>
          </w:p>
        </w:tc>
        <w:tc>
          <w:tcPr>
            <w:tcW w:w="1250" w:type="pct"/>
            <w:vAlign w:val="center"/>
          </w:tcPr>
          <w:p w14:paraId="68DC18C8">
            <w:pPr>
              <w:jc w:val="center"/>
              <w:rPr>
                <w:rFonts w:hint="eastAsia" w:ascii="微软雅黑" w:hAnsi="微软雅黑" w:eastAsia="微软雅黑" w:cs="微软雅黑"/>
              </w:rPr>
            </w:pPr>
            <w:r>
              <w:rPr>
                <w:rFonts w:hint="eastAsia" w:ascii="微软雅黑" w:hAnsi="微软雅黑" w:eastAsia="微软雅黑" w:cs="微软雅黑"/>
                <w:b w:val="0"/>
                <w:sz w:val="20"/>
              </w:rPr>
              <w:t>中高</w:t>
            </w:r>
          </w:p>
        </w:tc>
      </w:tr>
      <w:tr w14:paraId="0B3AAD28">
        <w:tblPrEx>
          <w:tblBorders>
            <w:top w:val="single" w:color="B7C3D0" w:sz="8" w:space="0"/>
            <w:left w:val="single" w:color="B7C3D0" w:sz="8" w:space="0"/>
            <w:bottom w:val="single" w:color="B7C3D0" w:sz="8" w:space="0"/>
            <w:right w:val="single" w:color="B7C3D0" w:sz="8" w:space="0"/>
            <w:insideH w:val="single" w:color="B7C3D0" w:sz="8" w:space="0"/>
            <w:insideV w:val="single" w:color="B7C3D0" w:sz="8" w:space="0"/>
          </w:tblBorders>
          <w:tblCellMar>
            <w:top w:w="0" w:type="dxa"/>
            <w:left w:w="108" w:type="dxa"/>
            <w:bottom w:w="0" w:type="dxa"/>
            <w:right w:w="108" w:type="dxa"/>
          </w:tblCellMar>
        </w:tblPrEx>
        <w:tc>
          <w:tcPr>
            <w:tcW w:w="1250" w:type="pct"/>
            <w:vAlign w:val="center"/>
          </w:tcPr>
          <w:p w14:paraId="06743A6F">
            <w:pPr>
              <w:jc w:val="center"/>
              <w:rPr>
                <w:rFonts w:hint="eastAsia" w:ascii="微软雅黑" w:hAnsi="微软雅黑" w:eastAsia="微软雅黑" w:cs="微软雅黑"/>
              </w:rPr>
            </w:pPr>
            <w:r>
              <w:rPr>
                <w:rFonts w:hint="eastAsia" w:ascii="微软雅黑" w:hAnsi="微软雅黑" w:eastAsia="微软雅黑" w:cs="微软雅黑"/>
                <w:b w:val="0"/>
                <w:sz w:val="20"/>
              </w:rPr>
              <w:t>其余乡镇</w:t>
            </w:r>
          </w:p>
        </w:tc>
        <w:tc>
          <w:tcPr>
            <w:tcW w:w="1250" w:type="pct"/>
            <w:vAlign w:val="center"/>
          </w:tcPr>
          <w:p w14:paraId="754F0A06">
            <w:pPr>
              <w:jc w:val="center"/>
              <w:rPr>
                <w:rFonts w:hint="eastAsia" w:ascii="微软雅黑" w:hAnsi="微软雅黑" w:eastAsia="微软雅黑" w:cs="微软雅黑"/>
              </w:rPr>
            </w:pPr>
            <w:r>
              <w:rPr>
                <w:rFonts w:hint="eastAsia" w:ascii="微软雅黑" w:hAnsi="微软雅黑" w:eastAsia="微软雅黑" w:cs="微软雅黑"/>
                <w:b w:val="0"/>
                <w:sz w:val="20"/>
              </w:rPr>
              <w:t>平均2.80</w:t>
            </w:r>
          </w:p>
        </w:tc>
        <w:tc>
          <w:tcPr>
            <w:tcW w:w="1250" w:type="pct"/>
            <w:vAlign w:val="center"/>
          </w:tcPr>
          <w:p w14:paraId="1FCBCE92">
            <w:pPr>
              <w:jc w:val="center"/>
              <w:rPr>
                <w:rFonts w:hint="eastAsia" w:ascii="微软雅黑" w:hAnsi="微软雅黑" w:eastAsia="微软雅黑" w:cs="微软雅黑"/>
              </w:rPr>
            </w:pPr>
            <w:r>
              <w:rPr>
                <w:rFonts w:hint="eastAsia" w:ascii="微软雅黑" w:hAnsi="微软雅黑" w:eastAsia="微软雅黑" w:cs="微软雅黑"/>
                <w:b w:val="0"/>
                <w:sz w:val="20"/>
              </w:rPr>
              <w:t>平均2.45</w:t>
            </w:r>
          </w:p>
        </w:tc>
        <w:tc>
          <w:tcPr>
            <w:tcW w:w="1250" w:type="pct"/>
            <w:vAlign w:val="center"/>
          </w:tcPr>
          <w:p w14:paraId="0140131F">
            <w:pPr>
              <w:jc w:val="center"/>
              <w:rPr>
                <w:rFonts w:hint="eastAsia" w:ascii="微软雅黑" w:hAnsi="微软雅黑" w:eastAsia="微软雅黑" w:cs="微软雅黑"/>
              </w:rPr>
            </w:pPr>
            <w:r>
              <w:rPr>
                <w:rFonts w:hint="eastAsia" w:ascii="微软雅黑" w:hAnsi="微软雅黑" w:eastAsia="微软雅黑" w:cs="微软雅黑"/>
                <w:b w:val="0"/>
                <w:sz w:val="20"/>
              </w:rPr>
              <w:t>低—中</w:t>
            </w:r>
          </w:p>
        </w:tc>
      </w:tr>
    </w:tbl>
    <w:p w14:paraId="23B83D33">
      <w:pPr>
        <w:pStyle w:val="19"/>
        <w:widowControl/>
        <w:rPr>
          <w:rFonts w:ascii="Times New Roman" w:hAnsi="Calibri" w:eastAsia="宋体" w:cs="Times New Roman"/>
          <w:sz w:val="24"/>
        </w:rPr>
      </w:pPr>
      <w:r>
        <w:rPr>
          <w:rFonts w:ascii="Times New Roman" w:hAnsi="Calibri" w:eastAsia="宋体" w:cs="Times New Roman"/>
          <w:sz w:val="24"/>
        </w:rPr>
        <w:t>如果按空间统计规范继续展开，建议保留全局Moran’s I检验与局部LISA聚类图。其中全局Moran’s I可写为：</w:t>
      </w:r>
    </w:p>
    <w:p w14:paraId="5FC57B05">
      <w:pPr>
        <w:pageBreakBefore/>
        <w:spacing w:before="40" w:after="60"/>
        <w:ind w:firstLine="0"/>
        <w:jc w:val="center"/>
        <w:rPr>
          <w:rFonts w:hint="eastAsia" w:ascii="微软雅黑" w:hAnsi="微软雅黑" w:eastAsia="微软雅黑" w:cs="微软雅黑"/>
        </w:rPr>
      </w:pPr>
      <w:r>
        <w:rPr>
          <w:rFonts w:hint="eastAsia" w:ascii="微软雅黑" w:hAnsi="微软雅黑" w:eastAsia="微软雅黑" w:cs="微软雅黑"/>
        </w:rPr>
        <w:drawing>
          <wp:inline distT="0" distB="0" distL="114300" distR="114300">
            <wp:extent cx="5219700" cy="9429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5"/>
                    <a:stretch>
                      <a:fillRect/>
                    </a:stretch>
                  </pic:blipFill>
                  <pic:spPr>
                    <a:xfrm>
                      <a:off x="0" y="0"/>
                      <a:ext cx="5220000" cy="943037"/>
                    </a:xfrm>
                    <a:prstGeom prst="rect">
                      <a:avLst/>
                    </a:prstGeom>
                  </pic:spPr>
                </pic:pic>
              </a:graphicData>
            </a:graphic>
          </wp:inline>
        </w:drawing>
      </w:r>
    </w:p>
    <w:p w14:paraId="645E7190">
      <w:pPr>
        <w:pStyle w:val="19"/>
        <w:widowControl/>
        <w:rPr>
          <w:rFonts w:ascii="Times New Roman" w:hAnsi="Calibri" w:eastAsia="宋体" w:cs="Times New Roman"/>
          <w:sz w:val="24"/>
        </w:rPr>
      </w:pPr>
      <w:r>
        <w:rPr>
          <w:rFonts w:ascii="Times New Roman" w:hAnsi="Calibri" w:eastAsia="宋体" w:cs="Times New Roman"/>
          <w:b w:val="0"/>
          <w:sz w:val="24"/>
        </w:rPr>
        <w:t>初稿给出的全局 Moran’s I 为0.483（p&lt;0.01），表明农业碳排放存在显著空间正相关性。该结果具有一定解释力，但在正式提交时应同时附上空间权重矩阵构造方式、显著性检验过程以及空间单元底图说明。</w:t>
      </w:r>
    </w:p>
    <w:p w14:paraId="680A8871">
      <w:pPr>
        <w:pStyle w:val="3"/>
        <w:keepNext/>
        <w:widowControl/>
        <w:numPr>
          <w:ilvl w:val="0"/>
          <w:numId w:val="0"/>
        </w:numPr>
        <w:topLinePunct w:val="0"/>
        <w:ind w:leftChars="0"/>
        <w:rPr>
          <w:rFonts w:hint="eastAsia" w:ascii="黑体" w:hAnsi="黑体" w:eastAsia="黑体" w:cs="黑体"/>
          <w:b w:val="0"/>
        </w:rPr>
      </w:pPr>
      <w:bookmarkStart w:id="32" w:name="_Toc20861"/>
      <w:bookmarkStart w:id="33" w:name="_Toc26416"/>
      <w:r>
        <w:rPr>
          <w:rFonts w:hint="eastAsia"/>
          <w:lang w:eastAsia="zh-CN"/>
        </w:rPr>
        <w:t>五、</w:t>
      </w:r>
      <w:r>
        <w:t>驱动因素识别与减排情景模拟</w:t>
      </w:r>
      <w:bookmarkEnd w:id="32"/>
      <w:bookmarkEnd w:id="33"/>
    </w:p>
    <w:p w14:paraId="3178E02D">
      <w:pPr>
        <w:pStyle w:val="4"/>
        <w:keepNext/>
        <w:widowControl/>
        <w:numPr>
          <w:ilvl w:val="0"/>
          <w:numId w:val="0"/>
        </w:numPr>
        <w:topLinePunct w:val="0"/>
        <w:ind w:leftChars="0"/>
        <w:rPr>
          <w:rFonts w:hint="eastAsia" w:ascii="楷体" w:hAnsi="楷体" w:eastAsia="楷体" w:cs="楷体"/>
          <w:b w:val="0"/>
        </w:rPr>
      </w:pPr>
      <w:bookmarkStart w:id="34" w:name="_Toc18425"/>
      <w:bookmarkStart w:id="35" w:name="_Toc2646"/>
      <w:r>
        <w:rPr>
          <w:rFonts w:hint="eastAsia"/>
          <w:lang w:eastAsia="zh-CN"/>
        </w:rPr>
        <w:t>（一）</w:t>
      </w:r>
      <w:r>
        <w:t>关键驱动因素识别</w:t>
      </w:r>
      <w:bookmarkEnd w:id="34"/>
      <w:bookmarkEnd w:id="35"/>
    </w:p>
    <w:p w14:paraId="17215679">
      <w:pPr>
        <w:pStyle w:val="19"/>
        <w:widowControl/>
        <w:rPr>
          <w:rFonts w:ascii="Times New Roman" w:hAnsi="Calibri" w:eastAsia="宋体" w:cs="Times New Roman"/>
          <w:sz w:val="24"/>
        </w:rPr>
      </w:pPr>
      <w:r>
        <w:rPr>
          <w:rFonts w:ascii="Times New Roman" w:hAnsi="Calibri" w:eastAsia="宋体" w:cs="Times New Roman"/>
          <w:sz w:val="24"/>
        </w:rPr>
        <w:t>初稿随机森林—SHAP分析结果表明，氮肥施用量、水稻播种面积和有效灌溉面积是影响寿县农业碳排放的三大核心因素，贡献度合计超过70%。这一排序与农业生产过程机理是一致的：氮肥施用直接影响N2O及化肥生产隐含碳排放，水稻面积决定稻田甲烷排放规模，而灌溉面积和水分管理方式会共同影响甲烷释放过程。</w:t>
      </w:r>
    </w:p>
    <w:tbl>
      <w:tblPr>
        <w:tblStyle w:val="35"/>
        <w:tblW w:w="4997" w:type="pct"/>
        <w:tblInd w:w="0" w:type="dxa"/>
        <w:tblBorders>
          <w:top w:val="single" w:color="B7C3D0" w:sz="8" w:space="0"/>
          <w:left w:val="single" w:color="B7C3D0" w:sz="8" w:space="0"/>
          <w:bottom w:val="single" w:color="B7C3D0" w:sz="8" w:space="0"/>
          <w:right w:val="single" w:color="B7C3D0" w:sz="8" w:space="0"/>
          <w:insideH w:val="single" w:color="B7C3D0" w:sz="8" w:space="0"/>
          <w:insideV w:val="single" w:color="B7C3D0" w:sz="8" w:space="0"/>
        </w:tblBorders>
        <w:tblLayout w:type="autofit"/>
        <w:tblCellMar>
          <w:top w:w="0" w:type="dxa"/>
          <w:left w:w="108" w:type="dxa"/>
          <w:bottom w:w="0" w:type="dxa"/>
          <w:right w:w="108" w:type="dxa"/>
        </w:tblCellMar>
      </w:tblPr>
      <w:tblGrid>
        <w:gridCol w:w="1898"/>
        <w:gridCol w:w="1901"/>
        <w:gridCol w:w="1901"/>
        <w:gridCol w:w="1901"/>
        <w:gridCol w:w="1901"/>
      </w:tblGrid>
      <w:tr w14:paraId="54F970A2">
        <w:tblPrEx>
          <w:tblBorders>
            <w:top w:val="single" w:color="B7C3D0" w:sz="8" w:space="0"/>
            <w:left w:val="single" w:color="B7C3D0" w:sz="8" w:space="0"/>
            <w:bottom w:val="single" w:color="B7C3D0" w:sz="8" w:space="0"/>
            <w:right w:val="single" w:color="B7C3D0" w:sz="8" w:space="0"/>
            <w:insideH w:val="single" w:color="B7C3D0" w:sz="8" w:space="0"/>
            <w:insideV w:val="single" w:color="B7C3D0" w:sz="8" w:space="0"/>
          </w:tblBorders>
          <w:tblCellMar>
            <w:top w:w="0" w:type="dxa"/>
            <w:left w:w="108" w:type="dxa"/>
            <w:bottom w:w="0" w:type="dxa"/>
            <w:right w:w="108" w:type="dxa"/>
          </w:tblCellMar>
        </w:tblPrEx>
        <w:tc>
          <w:tcPr>
            <w:tcW w:w="999" w:type="pct"/>
            <w:shd w:val="clear" w:color="auto" w:fill="D9EAF4"/>
            <w:vAlign w:val="center"/>
          </w:tcPr>
          <w:p w14:paraId="464D47C2">
            <w:pPr>
              <w:jc w:val="center"/>
              <w:rPr>
                <w:rFonts w:hint="eastAsia" w:ascii="微软雅黑" w:hAnsi="微软雅黑" w:eastAsia="微软雅黑" w:cs="微软雅黑"/>
              </w:rPr>
            </w:pPr>
            <w:r>
              <w:rPr>
                <w:rFonts w:hint="eastAsia" w:ascii="微软雅黑" w:hAnsi="微软雅黑" w:eastAsia="微软雅黑" w:cs="微软雅黑"/>
                <w:b/>
                <w:sz w:val="20"/>
              </w:rPr>
              <w:t>排名</w:t>
            </w:r>
          </w:p>
        </w:tc>
        <w:tc>
          <w:tcPr>
            <w:tcW w:w="1000" w:type="pct"/>
            <w:shd w:val="clear" w:color="auto" w:fill="D9EAF4"/>
            <w:vAlign w:val="center"/>
          </w:tcPr>
          <w:p w14:paraId="5847EBD0">
            <w:pPr>
              <w:jc w:val="center"/>
              <w:rPr>
                <w:rFonts w:hint="eastAsia" w:ascii="微软雅黑" w:hAnsi="微软雅黑" w:eastAsia="微软雅黑" w:cs="微软雅黑"/>
              </w:rPr>
            </w:pPr>
            <w:r>
              <w:rPr>
                <w:rFonts w:hint="eastAsia" w:ascii="微软雅黑" w:hAnsi="微软雅黑" w:eastAsia="微软雅黑" w:cs="微软雅黑"/>
                <w:b/>
                <w:sz w:val="20"/>
              </w:rPr>
              <w:t>变量</w:t>
            </w:r>
          </w:p>
        </w:tc>
        <w:tc>
          <w:tcPr>
            <w:tcW w:w="1000" w:type="pct"/>
            <w:shd w:val="clear" w:color="auto" w:fill="D9EAF4"/>
            <w:vAlign w:val="center"/>
          </w:tcPr>
          <w:p w14:paraId="068DF870">
            <w:pPr>
              <w:jc w:val="center"/>
              <w:rPr>
                <w:rFonts w:hint="eastAsia" w:ascii="微软雅黑" w:hAnsi="微软雅黑" w:eastAsia="微软雅黑" w:cs="微软雅黑"/>
              </w:rPr>
            </w:pPr>
            <w:r>
              <w:rPr>
                <w:rFonts w:hint="eastAsia" w:ascii="微软雅黑" w:hAnsi="微软雅黑" w:eastAsia="微软雅黑" w:cs="微软雅黑"/>
                <w:b/>
                <w:sz w:val="20"/>
              </w:rPr>
              <w:t>SHAP值</w:t>
            </w:r>
          </w:p>
        </w:tc>
        <w:tc>
          <w:tcPr>
            <w:tcW w:w="1000" w:type="pct"/>
            <w:shd w:val="clear" w:color="auto" w:fill="D9EAF4"/>
            <w:vAlign w:val="center"/>
          </w:tcPr>
          <w:p w14:paraId="7DBBF166">
            <w:pPr>
              <w:jc w:val="center"/>
              <w:rPr>
                <w:rFonts w:hint="eastAsia" w:ascii="微软雅黑" w:hAnsi="微软雅黑" w:eastAsia="微软雅黑" w:cs="微软雅黑"/>
              </w:rPr>
            </w:pPr>
            <w:r>
              <w:rPr>
                <w:rFonts w:hint="eastAsia" w:ascii="微软雅黑" w:hAnsi="微软雅黑" w:eastAsia="微软雅黑" w:cs="微软雅黑"/>
                <w:b/>
                <w:sz w:val="20"/>
              </w:rPr>
              <w:t>贡献度</w:t>
            </w:r>
          </w:p>
        </w:tc>
        <w:tc>
          <w:tcPr>
            <w:tcW w:w="1000" w:type="pct"/>
            <w:shd w:val="clear" w:color="auto" w:fill="D9EAF4"/>
            <w:vAlign w:val="center"/>
          </w:tcPr>
          <w:p w14:paraId="40F768FD">
            <w:pPr>
              <w:jc w:val="center"/>
              <w:rPr>
                <w:rFonts w:hint="eastAsia" w:ascii="微软雅黑" w:hAnsi="微软雅黑" w:eastAsia="微软雅黑" w:cs="微软雅黑"/>
              </w:rPr>
            </w:pPr>
            <w:r>
              <w:rPr>
                <w:rFonts w:hint="eastAsia" w:ascii="微软雅黑" w:hAnsi="微软雅黑" w:eastAsia="微软雅黑" w:cs="微软雅黑"/>
                <w:b/>
                <w:sz w:val="20"/>
              </w:rPr>
              <w:t>方向</w:t>
            </w:r>
          </w:p>
        </w:tc>
      </w:tr>
      <w:tr w14:paraId="1F48C076">
        <w:tblPrEx>
          <w:tblBorders>
            <w:top w:val="single" w:color="B7C3D0" w:sz="8" w:space="0"/>
            <w:left w:val="single" w:color="B7C3D0" w:sz="8" w:space="0"/>
            <w:bottom w:val="single" w:color="B7C3D0" w:sz="8" w:space="0"/>
            <w:right w:val="single" w:color="B7C3D0" w:sz="8" w:space="0"/>
            <w:insideH w:val="single" w:color="B7C3D0" w:sz="8" w:space="0"/>
            <w:insideV w:val="single" w:color="B7C3D0" w:sz="8" w:space="0"/>
          </w:tblBorders>
          <w:tblCellMar>
            <w:top w:w="0" w:type="dxa"/>
            <w:left w:w="108" w:type="dxa"/>
            <w:bottom w:w="0" w:type="dxa"/>
            <w:right w:w="108" w:type="dxa"/>
          </w:tblCellMar>
        </w:tblPrEx>
        <w:tc>
          <w:tcPr>
            <w:tcW w:w="999" w:type="pct"/>
            <w:vAlign w:val="center"/>
          </w:tcPr>
          <w:p w14:paraId="7DB8BEAC">
            <w:pPr>
              <w:jc w:val="center"/>
              <w:rPr>
                <w:rFonts w:hint="eastAsia" w:ascii="微软雅黑" w:hAnsi="微软雅黑" w:eastAsia="微软雅黑" w:cs="微软雅黑"/>
              </w:rPr>
            </w:pPr>
            <w:r>
              <w:rPr>
                <w:rFonts w:hint="eastAsia" w:ascii="微软雅黑" w:hAnsi="微软雅黑" w:eastAsia="微软雅黑" w:cs="微软雅黑"/>
                <w:b w:val="0"/>
                <w:sz w:val="20"/>
              </w:rPr>
              <w:t>1</w:t>
            </w:r>
          </w:p>
        </w:tc>
        <w:tc>
          <w:tcPr>
            <w:tcW w:w="1000" w:type="pct"/>
            <w:vAlign w:val="center"/>
          </w:tcPr>
          <w:p w14:paraId="2661DC42">
            <w:pPr>
              <w:jc w:val="center"/>
              <w:rPr>
                <w:rFonts w:hint="eastAsia" w:ascii="微软雅黑" w:hAnsi="微软雅黑" w:eastAsia="微软雅黑" w:cs="微软雅黑"/>
              </w:rPr>
            </w:pPr>
            <w:r>
              <w:rPr>
                <w:rFonts w:hint="eastAsia" w:ascii="微软雅黑" w:hAnsi="微软雅黑" w:eastAsia="微软雅黑" w:cs="微软雅黑"/>
                <w:b w:val="0"/>
                <w:sz w:val="20"/>
              </w:rPr>
              <w:t>氮肥施用量</w:t>
            </w:r>
          </w:p>
        </w:tc>
        <w:tc>
          <w:tcPr>
            <w:tcW w:w="1000" w:type="pct"/>
            <w:vAlign w:val="center"/>
          </w:tcPr>
          <w:p w14:paraId="46640875">
            <w:pPr>
              <w:jc w:val="center"/>
              <w:rPr>
                <w:rFonts w:hint="eastAsia" w:ascii="微软雅黑" w:hAnsi="微软雅黑" w:eastAsia="微软雅黑" w:cs="微软雅黑"/>
              </w:rPr>
            </w:pPr>
            <w:r>
              <w:rPr>
                <w:rFonts w:hint="eastAsia" w:ascii="微软雅黑" w:hAnsi="微软雅黑" w:eastAsia="微软雅黑" w:cs="微软雅黑"/>
                <w:b w:val="0"/>
                <w:sz w:val="20"/>
              </w:rPr>
              <w:t>0.325</w:t>
            </w:r>
          </w:p>
        </w:tc>
        <w:tc>
          <w:tcPr>
            <w:tcW w:w="1000" w:type="pct"/>
            <w:vAlign w:val="center"/>
          </w:tcPr>
          <w:p w14:paraId="01B7893F">
            <w:pPr>
              <w:jc w:val="center"/>
              <w:rPr>
                <w:rFonts w:hint="eastAsia" w:ascii="微软雅黑" w:hAnsi="微软雅黑" w:eastAsia="微软雅黑" w:cs="微软雅黑"/>
              </w:rPr>
            </w:pPr>
            <w:r>
              <w:rPr>
                <w:rFonts w:hint="eastAsia" w:ascii="微软雅黑" w:hAnsi="微软雅黑" w:eastAsia="微软雅黑" w:cs="微软雅黑"/>
                <w:b w:val="0"/>
                <w:sz w:val="20"/>
              </w:rPr>
              <w:t>32.5%</w:t>
            </w:r>
          </w:p>
        </w:tc>
        <w:tc>
          <w:tcPr>
            <w:tcW w:w="1000" w:type="pct"/>
            <w:vAlign w:val="center"/>
          </w:tcPr>
          <w:p w14:paraId="135CA2BE">
            <w:pPr>
              <w:jc w:val="center"/>
              <w:rPr>
                <w:rFonts w:hint="eastAsia" w:ascii="微软雅黑" w:hAnsi="微软雅黑" w:eastAsia="微软雅黑" w:cs="微软雅黑"/>
              </w:rPr>
            </w:pPr>
            <w:r>
              <w:rPr>
                <w:rFonts w:hint="eastAsia" w:ascii="微软雅黑" w:hAnsi="微软雅黑" w:eastAsia="微软雅黑" w:cs="微软雅黑"/>
                <w:b w:val="0"/>
                <w:sz w:val="20"/>
              </w:rPr>
              <w:t>正向</w:t>
            </w:r>
          </w:p>
        </w:tc>
      </w:tr>
      <w:tr w14:paraId="33FCF9AD">
        <w:tblPrEx>
          <w:tblBorders>
            <w:top w:val="single" w:color="B7C3D0" w:sz="8" w:space="0"/>
            <w:left w:val="single" w:color="B7C3D0" w:sz="8" w:space="0"/>
            <w:bottom w:val="single" w:color="B7C3D0" w:sz="8" w:space="0"/>
            <w:right w:val="single" w:color="B7C3D0" w:sz="8" w:space="0"/>
            <w:insideH w:val="single" w:color="B7C3D0" w:sz="8" w:space="0"/>
            <w:insideV w:val="single" w:color="B7C3D0" w:sz="8" w:space="0"/>
          </w:tblBorders>
          <w:tblCellMar>
            <w:top w:w="0" w:type="dxa"/>
            <w:left w:w="108" w:type="dxa"/>
            <w:bottom w:w="0" w:type="dxa"/>
            <w:right w:w="108" w:type="dxa"/>
          </w:tblCellMar>
        </w:tblPrEx>
        <w:tc>
          <w:tcPr>
            <w:tcW w:w="999" w:type="pct"/>
            <w:vAlign w:val="center"/>
          </w:tcPr>
          <w:p w14:paraId="66B98FD5">
            <w:pPr>
              <w:jc w:val="center"/>
              <w:rPr>
                <w:rFonts w:hint="eastAsia" w:ascii="微软雅黑" w:hAnsi="微软雅黑" w:eastAsia="微软雅黑" w:cs="微软雅黑"/>
              </w:rPr>
            </w:pPr>
            <w:r>
              <w:rPr>
                <w:rFonts w:hint="eastAsia" w:ascii="微软雅黑" w:hAnsi="微软雅黑" w:eastAsia="微软雅黑" w:cs="微软雅黑"/>
                <w:b w:val="0"/>
                <w:sz w:val="20"/>
              </w:rPr>
              <w:t>2</w:t>
            </w:r>
          </w:p>
        </w:tc>
        <w:tc>
          <w:tcPr>
            <w:tcW w:w="1000" w:type="pct"/>
            <w:vAlign w:val="center"/>
          </w:tcPr>
          <w:p w14:paraId="34DA8309">
            <w:pPr>
              <w:jc w:val="center"/>
              <w:rPr>
                <w:rFonts w:hint="eastAsia" w:ascii="微软雅黑" w:hAnsi="微软雅黑" w:eastAsia="微软雅黑" w:cs="微软雅黑"/>
              </w:rPr>
            </w:pPr>
            <w:r>
              <w:rPr>
                <w:rFonts w:hint="eastAsia" w:ascii="微软雅黑" w:hAnsi="微软雅黑" w:eastAsia="微软雅黑" w:cs="微软雅黑"/>
                <w:b w:val="0"/>
                <w:sz w:val="20"/>
              </w:rPr>
              <w:t>水稻播种面积</w:t>
            </w:r>
          </w:p>
        </w:tc>
        <w:tc>
          <w:tcPr>
            <w:tcW w:w="1000" w:type="pct"/>
            <w:vAlign w:val="center"/>
          </w:tcPr>
          <w:p w14:paraId="7A604FA0">
            <w:pPr>
              <w:jc w:val="center"/>
              <w:rPr>
                <w:rFonts w:hint="eastAsia" w:ascii="微软雅黑" w:hAnsi="微软雅黑" w:eastAsia="微软雅黑" w:cs="微软雅黑"/>
              </w:rPr>
            </w:pPr>
            <w:r>
              <w:rPr>
                <w:rFonts w:hint="eastAsia" w:ascii="微软雅黑" w:hAnsi="微软雅黑" w:eastAsia="微软雅黑" w:cs="微软雅黑"/>
                <w:b w:val="0"/>
                <w:sz w:val="20"/>
              </w:rPr>
              <w:t>0.226</w:t>
            </w:r>
          </w:p>
        </w:tc>
        <w:tc>
          <w:tcPr>
            <w:tcW w:w="1000" w:type="pct"/>
            <w:vAlign w:val="center"/>
          </w:tcPr>
          <w:p w14:paraId="109E9A77">
            <w:pPr>
              <w:jc w:val="center"/>
              <w:rPr>
                <w:rFonts w:hint="eastAsia" w:ascii="微软雅黑" w:hAnsi="微软雅黑" w:eastAsia="微软雅黑" w:cs="微软雅黑"/>
              </w:rPr>
            </w:pPr>
            <w:r>
              <w:rPr>
                <w:rFonts w:hint="eastAsia" w:ascii="微软雅黑" w:hAnsi="微软雅黑" w:eastAsia="微软雅黑" w:cs="微软雅黑"/>
                <w:b w:val="0"/>
                <w:sz w:val="20"/>
              </w:rPr>
              <w:t>22.6%</w:t>
            </w:r>
          </w:p>
        </w:tc>
        <w:tc>
          <w:tcPr>
            <w:tcW w:w="1000" w:type="pct"/>
            <w:vAlign w:val="center"/>
          </w:tcPr>
          <w:p w14:paraId="7895FD96">
            <w:pPr>
              <w:jc w:val="center"/>
              <w:rPr>
                <w:rFonts w:hint="eastAsia" w:ascii="微软雅黑" w:hAnsi="微软雅黑" w:eastAsia="微软雅黑" w:cs="微软雅黑"/>
              </w:rPr>
            </w:pPr>
            <w:r>
              <w:rPr>
                <w:rFonts w:hint="eastAsia" w:ascii="微软雅黑" w:hAnsi="微软雅黑" w:eastAsia="微软雅黑" w:cs="微软雅黑"/>
                <w:b w:val="0"/>
                <w:sz w:val="20"/>
              </w:rPr>
              <w:t>正向</w:t>
            </w:r>
          </w:p>
        </w:tc>
      </w:tr>
      <w:tr w14:paraId="601EB2F7">
        <w:tblPrEx>
          <w:tblBorders>
            <w:top w:val="single" w:color="B7C3D0" w:sz="8" w:space="0"/>
            <w:left w:val="single" w:color="B7C3D0" w:sz="8" w:space="0"/>
            <w:bottom w:val="single" w:color="B7C3D0" w:sz="8" w:space="0"/>
            <w:right w:val="single" w:color="B7C3D0" w:sz="8" w:space="0"/>
            <w:insideH w:val="single" w:color="B7C3D0" w:sz="8" w:space="0"/>
            <w:insideV w:val="single" w:color="B7C3D0" w:sz="8" w:space="0"/>
          </w:tblBorders>
          <w:tblCellMar>
            <w:top w:w="0" w:type="dxa"/>
            <w:left w:w="108" w:type="dxa"/>
            <w:bottom w:w="0" w:type="dxa"/>
            <w:right w:w="108" w:type="dxa"/>
          </w:tblCellMar>
        </w:tblPrEx>
        <w:tc>
          <w:tcPr>
            <w:tcW w:w="999" w:type="pct"/>
            <w:vAlign w:val="center"/>
          </w:tcPr>
          <w:p w14:paraId="7E6FC45B">
            <w:pPr>
              <w:jc w:val="center"/>
              <w:rPr>
                <w:rFonts w:hint="eastAsia" w:ascii="微软雅黑" w:hAnsi="微软雅黑" w:eastAsia="微软雅黑" w:cs="微软雅黑"/>
              </w:rPr>
            </w:pPr>
            <w:r>
              <w:rPr>
                <w:rFonts w:hint="eastAsia" w:ascii="微软雅黑" w:hAnsi="微软雅黑" w:eastAsia="微软雅黑" w:cs="微软雅黑"/>
                <w:b w:val="0"/>
                <w:sz w:val="20"/>
              </w:rPr>
              <w:t>3</w:t>
            </w:r>
          </w:p>
        </w:tc>
        <w:tc>
          <w:tcPr>
            <w:tcW w:w="1000" w:type="pct"/>
            <w:vAlign w:val="center"/>
          </w:tcPr>
          <w:p w14:paraId="02834FAB">
            <w:pPr>
              <w:jc w:val="center"/>
              <w:rPr>
                <w:rFonts w:hint="eastAsia" w:ascii="微软雅黑" w:hAnsi="微软雅黑" w:eastAsia="微软雅黑" w:cs="微软雅黑"/>
              </w:rPr>
            </w:pPr>
            <w:r>
              <w:rPr>
                <w:rFonts w:hint="eastAsia" w:ascii="微软雅黑" w:hAnsi="微软雅黑" w:eastAsia="微软雅黑" w:cs="微软雅黑"/>
                <w:b w:val="0"/>
                <w:sz w:val="20"/>
              </w:rPr>
              <w:t>有效灌溉面积</w:t>
            </w:r>
          </w:p>
        </w:tc>
        <w:tc>
          <w:tcPr>
            <w:tcW w:w="1000" w:type="pct"/>
            <w:vAlign w:val="center"/>
          </w:tcPr>
          <w:p w14:paraId="6E601D2D">
            <w:pPr>
              <w:jc w:val="center"/>
              <w:rPr>
                <w:rFonts w:hint="eastAsia" w:ascii="微软雅黑" w:hAnsi="微软雅黑" w:eastAsia="微软雅黑" w:cs="微软雅黑"/>
              </w:rPr>
            </w:pPr>
            <w:r>
              <w:rPr>
                <w:rFonts w:hint="eastAsia" w:ascii="微软雅黑" w:hAnsi="微软雅黑" w:eastAsia="微软雅黑" w:cs="微软雅黑"/>
                <w:b w:val="0"/>
                <w:sz w:val="20"/>
              </w:rPr>
              <w:t>0.158</w:t>
            </w:r>
          </w:p>
        </w:tc>
        <w:tc>
          <w:tcPr>
            <w:tcW w:w="1000" w:type="pct"/>
            <w:vAlign w:val="center"/>
          </w:tcPr>
          <w:p w14:paraId="505F5904">
            <w:pPr>
              <w:jc w:val="center"/>
              <w:rPr>
                <w:rFonts w:hint="eastAsia" w:ascii="微软雅黑" w:hAnsi="微软雅黑" w:eastAsia="微软雅黑" w:cs="微软雅黑"/>
              </w:rPr>
            </w:pPr>
            <w:r>
              <w:rPr>
                <w:rFonts w:hint="eastAsia" w:ascii="微软雅黑" w:hAnsi="微软雅黑" w:eastAsia="微软雅黑" w:cs="微软雅黑"/>
                <w:b w:val="0"/>
                <w:sz w:val="20"/>
              </w:rPr>
              <w:t>15.8%</w:t>
            </w:r>
          </w:p>
        </w:tc>
        <w:tc>
          <w:tcPr>
            <w:tcW w:w="1000" w:type="pct"/>
            <w:vAlign w:val="center"/>
          </w:tcPr>
          <w:p w14:paraId="725C3DD4">
            <w:pPr>
              <w:jc w:val="center"/>
              <w:rPr>
                <w:rFonts w:hint="eastAsia" w:ascii="微软雅黑" w:hAnsi="微软雅黑" w:eastAsia="微软雅黑" w:cs="微软雅黑"/>
              </w:rPr>
            </w:pPr>
            <w:r>
              <w:rPr>
                <w:rFonts w:hint="eastAsia" w:ascii="微软雅黑" w:hAnsi="微软雅黑" w:eastAsia="微软雅黑" w:cs="微软雅黑"/>
                <w:b w:val="0"/>
                <w:sz w:val="20"/>
              </w:rPr>
              <w:t>正向</w:t>
            </w:r>
          </w:p>
        </w:tc>
      </w:tr>
      <w:tr w14:paraId="739C5A8D">
        <w:tblPrEx>
          <w:tblBorders>
            <w:top w:val="single" w:color="B7C3D0" w:sz="8" w:space="0"/>
            <w:left w:val="single" w:color="B7C3D0" w:sz="8" w:space="0"/>
            <w:bottom w:val="single" w:color="B7C3D0" w:sz="8" w:space="0"/>
            <w:right w:val="single" w:color="B7C3D0" w:sz="8" w:space="0"/>
            <w:insideH w:val="single" w:color="B7C3D0" w:sz="8" w:space="0"/>
            <w:insideV w:val="single" w:color="B7C3D0" w:sz="8" w:space="0"/>
          </w:tblBorders>
          <w:tblCellMar>
            <w:top w:w="0" w:type="dxa"/>
            <w:left w:w="108" w:type="dxa"/>
            <w:bottom w:w="0" w:type="dxa"/>
            <w:right w:w="108" w:type="dxa"/>
          </w:tblCellMar>
        </w:tblPrEx>
        <w:tc>
          <w:tcPr>
            <w:tcW w:w="999" w:type="pct"/>
            <w:vAlign w:val="center"/>
          </w:tcPr>
          <w:p w14:paraId="13870DBF">
            <w:pPr>
              <w:jc w:val="center"/>
              <w:rPr>
                <w:rFonts w:hint="eastAsia" w:ascii="微软雅黑" w:hAnsi="微软雅黑" w:eastAsia="微软雅黑" w:cs="微软雅黑"/>
              </w:rPr>
            </w:pPr>
            <w:r>
              <w:rPr>
                <w:rFonts w:hint="eastAsia" w:ascii="微软雅黑" w:hAnsi="微软雅黑" w:eastAsia="微软雅黑" w:cs="微软雅黑"/>
                <w:b w:val="0"/>
                <w:sz w:val="20"/>
              </w:rPr>
              <w:t>4</w:t>
            </w:r>
          </w:p>
        </w:tc>
        <w:tc>
          <w:tcPr>
            <w:tcW w:w="1000" w:type="pct"/>
            <w:vAlign w:val="center"/>
          </w:tcPr>
          <w:p w14:paraId="29740A36">
            <w:pPr>
              <w:jc w:val="center"/>
              <w:rPr>
                <w:rFonts w:hint="eastAsia" w:ascii="微软雅黑" w:hAnsi="微软雅黑" w:eastAsia="微软雅黑" w:cs="微软雅黑"/>
              </w:rPr>
            </w:pPr>
            <w:r>
              <w:rPr>
                <w:rFonts w:hint="eastAsia" w:ascii="微软雅黑" w:hAnsi="微软雅黑" w:eastAsia="微软雅黑" w:cs="微软雅黑"/>
                <w:b w:val="0"/>
                <w:sz w:val="20"/>
              </w:rPr>
              <w:t>农业机械总动力</w:t>
            </w:r>
          </w:p>
        </w:tc>
        <w:tc>
          <w:tcPr>
            <w:tcW w:w="1000" w:type="pct"/>
            <w:vAlign w:val="center"/>
          </w:tcPr>
          <w:p w14:paraId="394DEABB">
            <w:pPr>
              <w:jc w:val="center"/>
              <w:rPr>
                <w:rFonts w:hint="eastAsia" w:ascii="微软雅黑" w:hAnsi="微软雅黑" w:eastAsia="微软雅黑" w:cs="微软雅黑"/>
              </w:rPr>
            </w:pPr>
            <w:r>
              <w:rPr>
                <w:rFonts w:hint="eastAsia" w:ascii="微软雅黑" w:hAnsi="微软雅黑" w:eastAsia="微软雅黑" w:cs="微软雅黑"/>
                <w:b w:val="0"/>
                <w:sz w:val="20"/>
              </w:rPr>
              <w:t>0.098</w:t>
            </w:r>
          </w:p>
        </w:tc>
        <w:tc>
          <w:tcPr>
            <w:tcW w:w="1000" w:type="pct"/>
            <w:vAlign w:val="center"/>
          </w:tcPr>
          <w:p w14:paraId="4EFFAB03">
            <w:pPr>
              <w:jc w:val="center"/>
              <w:rPr>
                <w:rFonts w:hint="eastAsia" w:ascii="微软雅黑" w:hAnsi="微软雅黑" w:eastAsia="微软雅黑" w:cs="微软雅黑"/>
              </w:rPr>
            </w:pPr>
            <w:r>
              <w:rPr>
                <w:rFonts w:hint="eastAsia" w:ascii="微软雅黑" w:hAnsi="微软雅黑" w:eastAsia="微软雅黑" w:cs="微软雅黑"/>
                <w:b w:val="0"/>
                <w:sz w:val="20"/>
              </w:rPr>
              <w:t>9.8%</w:t>
            </w:r>
          </w:p>
        </w:tc>
        <w:tc>
          <w:tcPr>
            <w:tcW w:w="1000" w:type="pct"/>
            <w:vAlign w:val="center"/>
          </w:tcPr>
          <w:p w14:paraId="49919FBF">
            <w:pPr>
              <w:jc w:val="center"/>
              <w:rPr>
                <w:rFonts w:hint="eastAsia" w:ascii="微软雅黑" w:hAnsi="微软雅黑" w:eastAsia="微软雅黑" w:cs="微软雅黑"/>
              </w:rPr>
            </w:pPr>
            <w:r>
              <w:rPr>
                <w:rFonts w:hint="eastAsia" w:ascii="微软雅黑" w:hAnsi="微软雅黑" w:eastAsia="微软雅黑" w:cs="微软雅黑"/>
                <w:b w:val="0"/>
                <w:sz w:val="20"/>
              </w:rPr>
              <w:t>正向</w:t>
            </w:r>
          </w:p>
        </w:tc>
      </w:tr>
      <w:tr w14:paraId="475A09BA">
        <w:tblPrEx>
          <w:tblBorders>
            <w:top w:val="single" w:color="B7C3D0" w:sz="8" w:space="0"/>
            <w:left w:val="single" w:color="B7C3D0" w:sz="8" w:space="0"/>
            <w:bottom w:val="single" w:color="B7C3D0" w:sz="8" w:space="0"/>
            <w:right w:val="single" w:color="B7C3D0" w:sz="8" w:space="0"/>
            <w:insideH w:val="single" w:color="B7C3D0" w:sz="8" w:space="0"/>
            <w:insideV w:val="single" w:color="B7C3D0" w:sz="8" w:space="0"/>
          </w:tblBorders>
          <w:tblCellMar>
            <w:top w:w="0" w:type="dxa"/>
            <w:left w:w="108" w:type="dxa"/>
            <w:bottom w:w="0" w:type="dxa"/>
            <w:right w:w="108" w:type="dxa"/>
          </w:tblCellMar>
        </w:tblPrEx>
        <w:tc>
          <w:tcPr>
            <w:tcW w:w="999" w:type="pct"/>
            <w:vAlign w:val="center"/>
          </w:tcPr>
          <w:p w14:paraId="5AB9238E">
            <w:pPr>
              <w:jc w:val="center"/>
              <w:rPr>
                <w:rFonts w:hint="eastAsia" w:ascii="微软雅黑" w:hAnsi="微软雅黑" w:eastAsia="微软雅黑" w:cs="微软雅黑"/>
              </w:rPr>
            </w:pPr>
            <w:r>
              <w:rPr>
                <w:rFonts w:hint="eastAsia" w:ascii="微软雅黑" w:hAnsi="微软雅黑" w:eastAsia="微软雅黑" w:cs="微软雅黑"/>
                <w:b w:val="0"/>
                <w:sz w:val="20"/>
              </w:rPr>
              <w:t>5</w:t>
            </w:r>
          </w:p>
        </w:tc>
        <w:tc>
          <w:tcPr>
            <w:tcW w:w="1000" w:type="pct"/>
            <w:vAlign w:val="center"/>
          </w:tcPr>
          <w:p w14:paraId="1B035105">
            <w:pPr>
              <w:jc w:val="center"/>
              <w:rPr>
                <w:rFonts w:hint="eastAsia" w:ascii="微软雅黑" w:hAnsi="微软雅黑" w:eastAsia="微软雅黑" w:cs="微软雅黑"/>
              </w:rPr>
            </w:pPr>
            <w:r>
              <w:rPr>
                <w:rFonts w:hint="eastAsia" w:ascii="微软雅黑" w:hAnsi="微软雅黑" w:eastAsia="微软雅黑" w:cs="微软雅黑"/>
                <w:b w:val="0"/>
                <w:sz w:val="20"/>
              </w:rPr>
              <w:t>年平均气温</w:t>
            </w:r>
          </w:p>
        </w:tc>
        <w:tc>
          <w:tcPr>
            <w:tcW w:w="1000" w:type="pct"/>
            <w:vAlign w:val="center"/>
          </w:tcPr>
          <w:p w14:paraId="6354DD16">
            <w:pPr>
              <w:jc w:val="center"/>
              <w:rPr>
                <w:rFonts w:hint="eastAsia" w:ascii="微软雅黑" w:hAnsi="微软雅黑" w:eastAsia="微软雅黑" w:cs="微软雅黑"/>
              </w:rPr>
            </w:pPr>
            <w:r>
              <w:rPr>
                <w:rFonts w:hint="eastAsia" w:ascii="微软雅黑" w:hAnsi="微软雅黑" w:eastAsia="微软雅黑" w:cs="微软雅黑"/>
                <w:b w:val="0"/>
                <w:sz w:val="20"/>
              </w:rPr>
              <w:t>0.072</w:t>
            </w:r>
          </w:p>
        </w:tc>
        <w:tc>
          <w:tcPr>
            <w:tcW w:w="1000" w:type="pct"/>
            <w:vAlign w:val="center"/>
          </w:tcPr>
          <w:p w14:paraId="28A46A5B">
            <w:pPr>
              <w:jc w:val="center"/>
              <w:rPr>
                <w:rFonts w:hint="eastAsia" w:ascii="微软雅黑" w:hAnsi="微软雅黑" w:eastAsia="微软雅黑" w:cs="微软雅黑"/>
              </w:rPr>
            </w:pPr>
            <w:r>
              <w:rPr>
                <w:rFonts w:hint="eastAsia" w:ascii="微软雅黑" w:hAnsi="微软雅黑" w:eastAsia="微软雅黑" w:cs="微软雅黑"/>
                <w:b w:val="0"/>
                <w:sz w:val="20"/>
              </w:rPr>
              <w:t>7.2%</w:t>
            </w:r>
          </w:p>
        </w:tc>
        <w:tc>
          <w:tcPr>
            <w:tcW w:w="1000" w:type="pct"/>
            <w:vAlign w:val="center"/>
          </w:tcPr>
          <w:p w14:paraId="519BC1E9">
            <w:pPr>
              <w:jc w:val="center"/>
              <w:rPr>
                <w:rFonts w:hint="eastAsia" w:ascii="微软雅黑" w:hAnsi="微软雅黑" w:eastAsia="微软雅黑" w:cs="微软雅黑"/>
              </w:rPr>
            </w:pPr>
            <w:r>
              <w:rPr>
                <w:rFonts w:hint="eastAsia" w:ascii="微软雅黑" w:hAnsi="微软雅黑" w:eastAsia="微软雅黑" w:cs="微软雅黑"/>
                <w:b w:val="0"/>
                <w:sz w:val="20"/>
              </w:rPr>
              <w:t>正向</w:t>
            </w:r>
          </w:p>
        </w:tc>
      </w:tr>
    </w:tbl>
    <w:p w14:paraId="7DAF12D5">
      <w:pPr>
        <w:pStyle w:val="19"/>
        <w:widowControl/>
        <w:rPr>
          <w:rFonts w:ascii="Times New Roman" w:hAnsi="Calibri" w:eastAsia="宋体" w:cs="Times New Roman"/>
          <w:sz w:val="24"/>
        </w:rPr>
      </w:pPr>
      <w:r>
        <w:rPr>
          <w:rFonts w:ascii="Times New Roman" w:hAnsi="Calibri" w:eastAsia="宋体" w:cs="Times New Roman"/>
          <w:sz w:val="24"/>
        </w:rPr>
        <w:t>表注：数值来自用户初稿的模型输出结果，本次修订未独立重跑随机森林程序。建议正式提交前附上训练样本规模、超参数设置、OOB误差或交叉验证结果。</w:t>
      </w:r>
    </w:p>
    <w:p w14:paraId="3F1B098F">
      <w:pPr>
        <w:pStyle w:val="4"/>
        <w:keepNext/>
        <w:pageBreakBefore/>
        <w:widowControl/>
        <w:numPr>
          <w:ilvl w:val="0"/>
          <w:numId w:val="0"/>
        </w:numPr>
        <w:topLinePunct w:val="0"/>
        <w:ind w:leftChars="0"/>
        <w:rPr>
          <w:rFonts w:hint="eastAsia" w:ascii="楷体" w:hAnsi="楷体" w:eastAsia="楷体" w:cs="楷体"/>
          <w:b w:val="0"/>
        </w:rPr>
      </w:pPr>
      <w:bookmarkStart w:id="36" w:name="_Toc28519"/>
      <w:bookmarkStart w:id="37" w:name="_Toc7495"/>
      <w:r>
        <w:rPr>
          <w:rFonts w:hint="eastAsia"/>
          <w:lang w:eastAsia="zh-CN"/>
        </w:rPr>
        <w:t>（二）</w:t>
      </w:r>
      <w:r>
        <w:t>减排情景模拟</w:t>
      </w:r>
      <w:bookmarkEnd w:id="36"/>
      <w:bookmarkEnd w:id="37"/>
    </w:p>
    <w:p w14:paraId="5CD0EAF8">
      <w:pPr>
        <w:pStyle w:val="19"/>
        <w:widowControl/>
        <w:rPr>
          <w:rFonts w:ascii="Times New Roman" w:hAnsi="Calibri" w:eastAsia="宋体" w:cs="Times New Roman"/>
          <w:sz w:val="24"/>
        </w:rPr>
      </w:pPr>
      <w:r>
        <w:rPr>
          <w:rFonts w:ascii="Times New Roman" w:hAnsi="Calibri" w:eastAsia="宋体" w:cs="Times New Roman"/>
          <w:sz w:val="24"/>
        </w:rPr>
        <w:t>在情景模拟部分，初稿设置了优化施肥、节水灌溉、秸秆还田和综合减排四类方案。该设置契合农业领域常见的减污降碳协同路径，也与寿县粮食主产县的现实条件匹配。正式写作时，不宜将情景参数表述为“理所当然成立”，而应说明参数依据来自既有文献、地方政策目标或专家假设，并区分“可以核验的外生参数”和“模型内生测算结果”。</w:t>
      </w:r>
    </w:p>
    <w:tbl>
      <w:tblPr>
        <w:tblStyle w:val="35"/>
        <w:tblW w:w="5000" w:type="pct"/>
        <w:tblInd w:w="0" w:type="dxa"/>
        <w:tblBorders>
          <w:top w:val="single" w:color="B7C3D0" w:sz="8" w:space="0"/>
          <w:left w:val="single" w:color="B7C3D0" w:sz="8" w:space="0"/>
          <w:bottom w:val="single" w:color="B7C3D0" w:sz="8" w:space="0"/>
          <w:right w:val="single" w:color="B7C3D0" w:sz="8" w:space="0"/>
          <w:insideH w:val="single" w:color="B7C3D0" w:sz="8" w:space="0"/>
          <w:insideV w:val="single" w:color="B7C3D0" w:sz="8" w:space="0"/>
        </w:tblBorders>
        <w:tblLayout w:type="autofit"/>
        <w:tblCellMar>
          <w:top w:w="0" w:type="dxa"/>
          <w:left w:w="108" w:type="dxa"/>
          <w:bottom w:w="0" w:type="dxa"/>
          <w:right w:w="108" w:type="dxa"/>
        </w:tblCellMar>
      </w:tblPr>
      <w:tblGrid>
        <w:gridCol w:w="2377"/>
        <w:gridCol w:w="2377"/>
        <w:gridCol w:w="2377"/>
        <w:gridCol w:w="2377"/>
      </w:tblGrid>
      <w:tr w14:paraId="5860274D">
        <w:tblPrEx>
          <w:tblBorders>
            <w:top w:val="single" w:color="B7C3D0" w:sz="8" w:space="0"/>
            <w:left w:val="single" w:color="B7C3D0" w:sz="8" w:space="0"/>
            <w:bottom w:val="single" w:color="B7C3D0" w:sz="8" w:space="0"/>
            <w:right w:val="single" w:color="B7C3D0" w:sz="8" w:space="0"/>
            <w:insideH w:val="single" w:color="B7C3D0" w:sz="8" w:space="0"/>
            <w:insideV w:val="single" w:color="B7C3D0" w:sz="8" w:space="0"/>
          </w:tblBorders>
          <w:tblCellMar>
            <w:top w:w="0" w:type="dxa"/>
            <w:left w:w="108" w:type="dxa"/>
            <w:bottom w:w="0" w:type="dxa"/>
            <w:right w:w="108" w:type="dxa"/>
          </w:tblCellMar>
        </w:tblPrEx>
        <w:tc>
          <w:tcPr>
            <w:tcW w:w="1250" w:type="pct"/>
            <w:shd w:val="clear" w:color="auto" w:fill="D9EAF4"/>
            <w:vAlign w:val="center"/>
          </w:tcPr>
          <w:p w14:paraId="62EC3973">
            <w:pPr>
              <w:jc w:val="center"/>
              <w:rPr>
                <w:rFonts w:hint="eastAsia" w:ascii="微软雅黑" w:hAnsi="微软雅黑" w:eastAsia="微软雅黑" w:cs="微软雅黑"/>
              </w:rPr>
            </w:pPr>
            <w:r>
              <w:rPr>
                <w:rFonts w:hint="eastAsia" w:ascii="微软雅黑" w:hAnsi="微软雅黑" w:eastAsia="微软雅黑" w:cs="微软雅黑"/>
                <w:b/>
                <w:sz w:val="20"/>
              </w:rPr>
              <w:t>情景</w:t>
            </w:r>
          </w:p>
        </w:tc>
        <w:tc>
          <w:tcPr>
            <w:tcW w:w="1250" w:type="pct"/>
            <w:shd w:val="clear" w:color="auto" w:fill="D9EAF4"/>
            <w:vAlign w:val="center"/>
          </w:tcPr>
          <w:p w14:paraId="4033216B">
            <w:pPr>
              <w:jc w:val="center"/>
              <w:rPr>
                <w:rFonts w:hint="eastAsia" w:ascii="微软雅黑" w:hAnsi="微软雅黑" w:eastAsia="微软雅黑" w:cs="微软雅黑"/>
              </w:rPr>
            </w:pPr>
            <w:r>
              <w:rPr>
                <w:rFonts w:hint="eastAsia" w:ascii="微软雅黑" w:hAnsi="微软雅黑" w:eastAsia="微软雅黑" w:cs="微软雅黑"/>
                <w:b/>
                <w:sz w:val="20"/>
              </w:rPr>
              <w:t>2030年排放</w:t>
            </w:r>
          </w:p>
        </w:tc>
        <w:tc>
          <w:tcPr>
            <w:tcW w:w="1250" w:type="pct"/>
            <w:shd w:val="clear" w:color="auto" w:fill="D9EAF4"/>
            <w:vAlign w:val="center"/>
          </w:tcPr>
          <w:p w14:paraId="67F7716D">
            <w:pPr>
              <w:jc w:val="center"/>
              <w:rPr>
                <w:rFonts w:hint="eastAsia" w:ascii="微软雅黑" w:hAnsi="微软雅黑" w:eastAsia="微软雅黑" w:cs="微软雅黑"/>
              </w:rPr>
            </w:pPr>
            <w:r>
              <w:rPr>
                <w:rFonts w:hint="eastAsia" w:ascii="微软雅黑" w:hAnsi="微软雅黑" w:eastAsia="微软雅黑" w:cs="微软雅黑"/>
                <w:b/>
                <w:sz w:val="20"/>
              </w:rPr>
              <w:t>较基准年变化</w:t>
            </w:r>
          </w:p>
        </w:tc>
        <w:tc>
          <w:tcPr>
            <w:tcW w:w="1250" w:type="pct"/>
            <w:shd w:val="clear" w:color="auto" w:fill="D9EAF4"/>
            <w:vAlign w:val="center"/>
          </w:tcPr>
          <w:p w14:paraId="78277BBB">
            <w:pPr>
              <w:jc w:val="center"/>
              <w:rPr>
                <w:rFonts w:hint="eastAsia" w:ascii="微软雅黑" w:hAnsi="微软雅黑" w:eastAsia="微软雅黑" w:cs="微软雅黑"/>
              </w:rPr>
            </w:pPr>
            <w:r>
              <w:rPr>
                <w:rFonts w:hint="eastAsia" w:ascii="微软雅黑" w:hAnsi="微软雅黑" w:eastAsia="微软雅黑" w:cs="微软雅黑"/>
                <w:b/>
                <w:sz w:val="20"/>
              </w:rPr>
              <w:t>较基准情景变化</w:t>
            </w:r>
          </w:p>
        </w:tc>
      </w:tr>
      <w:tr w14:paraId="0F00C7E8">
        <w:tblPrEx>
          <w:tblBorders>
            <w:top w:val="single" w:color="B7C3D0" w:sz="8" w:space="0"/>
            <w:left w:val="single" w:color="B7C3D0" w:sz="8" w:space="0"/>
            <w:bottom w:val="single" w:color="B7C3D0" w:sz="8" w:space="0"/>
            <w:right w:val="single" w:color="B7C3D0" w:sz="8" w:space="0"/>
            <w:insideH w:val="single" w:color="B7C3D0" w:sz="8" w:space="0"/>
            <w:insideV w:val="single" w:color="B7C3D0" w:sz="8" w:space="0"/>
          </w:tblBorders>
          <w:tblCellMar>
            <w:top w:w="0" w:type="dxa"/>
            <w:left w:w="108" w:type="dxa"/>
            <w:bottom w:w="0" w:type="dxa"/>
            <w:right w:w="108" w:type="dxa"/>
          </w:tblCellMar>
        </w:tblPrEx>
        <w:tc>
          <w:tcPr>
            <w:tcW w:w="1250" w:type="pct"/>
            <w:vAlign w:val="center"/>
          </w:tcPr>
          <w:p w14:paraId="31767BEE">
            <w:pPr>
              <w:jc w:val="center"/>
              <w:rPr>
                <w:rFonts w:hint="eastAsia" w:ascii="微软雅黑" w:hAnsi="微软雅黑" w:eastAsia="微软雅黑" w:cs="微软雅黑"/>
              </w:rPr>
            </w:pPr>
            <w:r>
              <w:rPr>
                <w:rFonts w:hint="eastAsia" w:ascii="微软雅黑" w:hAnsi="微软雅黑" w:eastAsia="微软雅黑" w:cs="微软雅黑"/>
                <w:b w:val="0"/>
                <w:sz w:val="20"/>
              </w:rPr>
              <w:t>基准情景</w:t>
            </w:r>
          </w:p>
        </w:tc>
        <w:tc>
          <w:tcPr>
            <w:tcW w:w="1250" w:type="pct"/>
            <w:vAlign w:val="center"/>
          </w:tcPr>
          <w:p w14:paraId="7E5FF452">
            <w:pPr>
              <w:jc w:val="center"/>
              <w:rPr>
                <w:rFonts w:hint="eastAsia" w:ascii="微软雅黑" w:hAnsi="微软雅黑" w:eastAsia="微软雅黑" w:cs="微软雅黑"/>
              </w:rPr>
            </w:pPr>
            <w:r>
              <w:rPr>
                <w:rFonts w:hint="eastAsia" w:ascii="微软雅黑" w:hAnsi="微软雅黑" w:eastAsia="微软雅黑" w:cs="微软雅黑"/>
                <w:b w:val="0"/>
                <w:sz w:val="20"/>
              </w:rPr>
              <w:t>74.2</w:t>
            </w:r>
          </w:p>
        </w:tc>
        <w:tc>
          <w:tcPr>
            <w:tcW w:w="1250" w:type="pct"/>
            <w:vAlign w:val="center"/>
          </w:tcPr>
          <w:p w14:paraId="4F7C4163">
            <w:pPr>
              <w:jc w:val="center"/>
              <w:rPr>
                <w:rFonts w:hint="eastAsia" w:ascii="微软雅黑" w:hAnsi="微软雅黑" w:eastAsia="微软雅黑" w:cs="微软雅黑"/>
              </w:rPr>
            </w:pPr>
            <w:r>
              <w:rPr>
                <w:rFonts w:hint="eastAsia" w:ascii="微软雅黑" w:hAnsi="微软雅黑" w:eastAsia="微软雅黑" w:cs="微软雅黑"/>
                <w:b w:val="0"/>
                <w:sz w:val="20"/>
              </w:rPr>
              <w:t>+2.2%</w:t>
            </w:r>
          </w:p>
        </w:tc>
        <w:tc>
          <w:tcPr>
            <w:tcW w:w="1250" w:type="pct"/>
            <w:vAlign w:val="center"/>
          </w:tcPr>
          <w:p w14:paraId="2065CCF2">
            <w:pPr>
              <w:jc w:val="center"/>
              <w:rPr>
                <w:rFonts w:hint="eastAsia" w:ascii="微软雅黑" w:hAnsi="微软雅黑" w:eastAsia="微软雅黑" w:cs="微软雅黑"/>
              </w:rPr>
            </w:pPr>
            <w:r>
              <w:rPr>
                <w:rFonts w:hint="eastAsia" w:ascii="微软雅黑" w:hAnsi="微软雅黑" w:eastAsia="微软雅黑" w:cs="微软雅黑"/>
                <w:b w:val="0"/>
                <w:sz w:val="20"/>
              </w:rPr>
              <w:t>—</w:t>
            </w:r>
          </w:p>
        </w:tc>
      </w:tr>
      <w:tr w14:paraId="45640A85">
        <w:tblPrEx>
          <w:tblBorders>
            <w:top w:val="single" w:color="B7C3D0" w:sz="8" w:space="0"/>
            <w:left w:val="single" w:color="B7C3D0" w:sz="8" w:space="0"/>
            <w:bottom w:val="single" w:color="B7C3D0" w:sz="8" w:space="0"/>
            <w:right w:val="single" w:color="B7C3D0" w:sz="8" w:space="0"/>
            <w:insideH w:val="single" w:color="B7C3D0" w:sz="8" w:space="0"/>
            <w:insideV w:val="single" w:color="B7C3D0" w:sz="8" w:space="0"/>
          </w:tblBorders>
          <w:tblCellMar>
            <w:top w:w="0" w:type="dxa"/>
            <w:left w:w="108" w:type="dxa"/>
            <w:bottom w:w="0" w:type="dxa"/>
            <w:right w:w="108" w:type="dxa"/>
          </w:tblCellMar>
        </w:tblPrEx>
        <w:tc>
          <w:tcPr>
            <w:tcW w:w="1250" w:type="pct"/>
            <w:vAlign w:val="center"/>
          </w:tcPr>
          <w:p w14:paraId="6F24498E">
            <w:pPr>
              <w:jc w:val="center"/>
              <w:rPr>
                <w:rFonts w:hint="eastAsia" w:ascii="微软雅黑" w:hAnsi="微软雅黑" w:eastAsia="微软雅黑" w:cs="微软雅黑"/>
              </w:rPr>
            </w:pPr>
            <w:r>
              <w:rPr>
                <w:rFonts w:hint="eastAsia" w:ascii="微软雅黑" w:hAnsi="微软雅黑" w:eastAsia="微软雅黑" w:cs="微软雅黑"/>
                <w:b w:val="0"/>
                <w:sz w:val="20"/>
              </w:rPr>
              <w:t>优化施肥</w:t>
            </w:r>
          </w:p>
        </w:tc>
        <w:tc>
          <w:tcPr>
            <w:tcW w:w="1250" w:type="pct"/>
            <w:vAlign w:val="center"/>
          </w:tcPr>
          <w:p w14:paraId="2184757C">
            <w:pPr>
              <w:jc w:val="center"/>
              <w:rPr>
                <w:rFonts w:hint="eastAsia" w:ascii="微软雅黑" w:hAnsi="微软雅黑" w:eastAsia="微软雅黑" w:cs="微软雅黑"/>
              </w:rPr>
            </w:pPr>
            <w:r>
              <w:rPr>
                <w:rFonts w:hint="eastAsia" w:ascii="微软雅黑" w:hAnsi="微软雅黑" w:eastAsia="微软雅黑" w:cs="微软雅黑"/>
                <w:b w:val="0"/>
                <w:sz w:val="20"/>
              </w:rPr>
              <w:t>68.5</w:t>
            </w:r>
          </w:p>
        </w:tc>
        <w:tc>
          <w:tcPr>
            <w:tcW w:w="1250" w:type="pct"/>
            <w:vAlign w:val="center"/>
          </w:tcPr>
          <w:p w14:paraId="15266AE4">
            <w:pPr>
              <w:jc w:val="center"/>
              <w:rPr>
                <w:rFonts w:hint="eastAsia" w:ascii="微软雅黑" w:hAnsi="微软雅黑" w:eastAsia="微软雅黑" w:cs="微软雅黑"/>
              </w:rPr>
            </w:pPr>
            <w:r>
              <w:rPr>
                <w:rFonts w:hint="eastAsia" w:ascii="微软雅黑" w:hAnsi="微软雅黑" w:eastAsia="微软雅黑" w:cs="微软雅黑"/>
                <w:b w:val="0"/>
                <w:sz w:val="20"/>
              </w:rPr>
              <w:t>-5.6%</w:t>
            </w:r>
          </w:p>
        </w:tc>
        <w:tc>
          <w:tcPr>
            <w:tcW w:w="1250" w:type="pct"/>
            <w:vAlign w:val="center"/>
          </w:tcPr>
          <w:p w14:paraId="7E1DC570">
            <w:pPr>
              <w:jc w:val="center"/>
              <w:rPr>
                <w:rFonts w:hint="eastAsia" w:ascii="微软雅黑" w:hAnsi="微软雅黑" w:eastAsia="微软雅黑" w:cs="微软雅黑"/>
              </w:rPr>
            </w:pPr>
            <w:r>
              <w:rPr>
                <w:rFonts w:hint="eastAsia" w:ascii="微软雅黑" w:hAnsi="微软雅黑" w:eastAsia="微软雅黑" w:cs="微软雅黑"/>
                <w:b w:val="0"/>
                <w:sz w:val="20"/>
              </w:rPr>
              <w:t>-7.7%</w:t>
            </w:r>
          </w:p>
        </w:tc>
      </w:tr>
      <w:tr w14:paraId="13D559C4">
        <w:tblPrEx>
          <w:tblBorders>
            <w:top w:val="single" w:color="B7C3D0" w:sz="8" w:space="0"/>
            <w:left w:val="single" w:color="B7C3D0" w:sz="8" w:space="0"/>
            <w:bottom w:val="single" w:color="B7C3D0" w:sz="8" w:space="0"/>
            <w:right w:val="single" w:color="B7C3D0" w:sz="8" w:space="0"/>
            <w:insideH w:val="single" w:color="B7C3D0" w:sz="8" w:space="0"/>
            <w:insideV w:val="single" w:color="B7C3D0" w:sz="8" w:space="0"/>
          </w:tblBorders>
          <w:tblCellMar>
            <w:top w:w="0" w:type="dxa"/>
            <w:left w:w="108" w:type="dxa"/>
            <w:bottom w:w="0" w:type="dxa"/>
            <w:right w:w="108" w:type="dxa"/>
          </w:tblCellMar>
        </w:tblPrEx>
        <w:tc>
          <w:tcPr>
            <w:tcW w:w="1250" w:type="pct"/>
            <w:vAlign w:val="center"/>
          </w:tcPr>
          <w:p w14:paraId="7D655D91">
            <w:pPr>
              <w:jc w:val="center"/>
              <w:rPr>
                <w:rFonts w:hint="eastAsia" w:ascii="微软雅黑" w:hAnsi="微软雅黑" w:eastAsia="微软雅黑" w:cs="微软雅黑"/>
              </w:rPr>
            </w:pPr>
            <w:r>
              <w:rPr>
                <w:rFonts w:hint="eastAsia" w:ascii="微软雅黑" w:hAnsi="微软雅黑" w:eastAsia="微软雅黑" w:cs="微软雅黑"/>
                <w:b w:val="0"/>
                <w:sz w:val="20"/>
              </w:rPr>
              <w:t>节水灌溉</w:t>
            </w:r>
          </w:p>
        </w:tc>
        <w:tc>
          <w:tcPr>
            <w:tcW w:w="1250" w:type="pct"/>
            <w:vAlign w:val="center"/>
          </w:tcPr>
          <w:p w14:paraId="6CF42BBF">
            <w:pPr>
              <w:jc w:val="center"/>
              <w:rPr>
                <w:rFonts w:hint="eastAsia" w:ascii="微软雅黑" w:hAnsi="微软雅黑" w:eastAsia="微软雅黑" w:cs="微软雅黑"/>
              </w:rPr>
            </w:pPr>
            <w:r>
              <w:rPr>
                <w:rFonts w:hint="eastAsia" w:ascii="微软雅黑" w:hAnsi="微软雅黑" w:eastAsia="微软雅黑" w:cs="微软雅黑"/>
                <w:b w:val="0"/>
                <w:sz w:val="20"/>
              </w:rPr>
              <w:t>70.8</w:t>
            </w:r>
          </w:p>
        </w:tc>
        <w:tc>
          <w:tcPr>
            <w:tcW w:w="1250" w:type="pct"/>
            <w:vAlign w:val="center"/>
          </w:tcPr>
          <w:p w14:paraId="0E4DFC2C">
            <w:pPr>
              <w:jc w:val="center"/>
              <w:rPr>
                <w:rFonts w:hint="eastAsia" w:ascii="微软雅黑" w:hAnsi="微软雅黑" w:eastAsia="微软雅黑" w:cs="微软雅黑"/>
              </w:rPr>
            </w:pPr>
            <w:r>
              <w:rPr>
                <w:rFonts w:hint="eastAsia" w:ascii="微软雅黑" w:hAnsi="微软雅黑" w:eastAsia="微软雅黑" w:cs="微软雅黑"/>
                <w:b w:val="0"/>
                <w:sz w:val="20"/>
              </w:rPr>
              <w:t>-2.4%</w:t>
            </w:r>
          </w:p>
        </w:tc>
        <w:tc>
          <w:tcPr>
            <w:tcW w:w="1250" w:type="pct"/>
            <w:vAlign w:val="center"/>
          </w:tcPr>
          <w:p w14:paraId="4B12A233">
            <w:pPr>
              <w:jc w:val="center"/>
              <w:rPr>
                <w:rFonts w:hint="eastAsia" w:ascii="微软雅黑" w:hAnsi="微软雅黑" w:eastAsia="微软雅黑" w:cs="微软雅黑"/>
              </w:rPr>
            </w:pPr>
            <w:r>
              <w:rPr>
                <w:rFonts w:hint="eastAsia" w:ascii="微软雅黑" w:hAnsi="微软雅黑" w:eastAsia="微软雅黑" w:cs="微软雅黑"/>
                <w:b w:val="0"/>
                <w:sz w:val="20"/>
              </w:rPr>
              <w:t>-4.6%</w:t>
            </w:r>
          </w:p>
        </w:tc>
      </w:tr>
      <w:tr w14:paraId="0E424B03">
        <w:tblPrEx>
          <w:tblBorders>
            <w:top w:val="single" w:color="B7C3D0" w:sz="8" w:space="0"/>
            <w:left w:val="single" w:color="B7C3D0" w:sz="8" w:space="0"/>
            <w:bottom w:val="single" w:color="B7C3D0" w:sz="8" w:space="0"/>
            <w:right w:val="single" w:color="B7C3D0" w:sz="8" w:space="0"/>
            <w:insideH w:val="single" w:color="B7C3D0" w:sz="8" w:space="0"/>
            <w:insideV w:val="single" w:color="B7C3D0" w:sz="8" w:space="0"/>
          </w:tblBorders>
          <w:tblCellMar>
            <w:top w:w="0" w:type="dxa"/>
            <w:left w:w="108" w:type="dxa"/>
            <w:bottom w:w="0" w:type="dxa"/>
            <w:right w:w="108" w:type="dxa"/>
          </w:tblCellMar>
        </w:tblPrEx>
        <w:tc>
          <w:tcPr>
            <w:tcW w:w="1250" w:type="pct"/>
            <w:vAlign w:val="center"/>
          </w:tcPr>
          <w:p w14:paraId="6D825889">
            <w:pPr>
              <w:jc w:val="center"/>
              <w:rPr>
                <w:rFonts w:hint="eastAsia" w:ascii="微软雅黑" w:hAnsi="微软雅黑" w:eastAsia="微软雅黑" w:cs="微软雅黑"/>
              </w:rPr>
            </w:pPr>
            <w:r>
              <w:rPr>
                <w:rFonts w:hint="eastAsia" w:ascii="微软雅黑" w:hAnsi="微软雅黑" w:eastAsia="微软雅黑" w:cs="微软雅黑"/>
                <w:b w:val="0"/>
                <w:sz w:val="20"/>
              </w:rPr>
              <w:t>秸秆还田</w:t>
            </w:r>
          </w:p>
        </w:tc>
        <w:tc>
          <w:tcPr>
            <w:tcW w:w="1250" w:type="pct"/>
            <w:vAlign w:val="center"/>
          </w:tcPr>
          <w:p w14:paraId="583645CB">
            <w:pPr>
              <w:jc w:val="center"/>
              <w:rPr>
                <w:rFonts w:hint="eastAsia" w:ascii="微软雅黑" w:hAnsi="微软雅黑" w:eastAsia="微软雅黑" w:cs="微软雅黑"/>
              </w:rPr>
            </w:pPr>
            <w:r>
              <w:rPr>
                <w:rFonts w:hint="eastAsia" w:ascii="微软雅黑" w:hAnsi="微软雅黑" w:eastAsia="微软雅黑" w:cs="微软雅黑"/>
                <w:b w:val="0"/>
                <w:sz w:val="20"/>
              </w:rPr>
              <w:t>71.5</w:t>
            </w:r>
          </w:p>
        </w:tc>
        <w:tc>
          <w:tcPr>
            <w:tcW w:w="1250" w:type="pct"/>
            <w:vAlign w:val="center"/>
          </w:tcPr>
          <w:p w14:paraId="7CC0C163">
            <w:pPr>
              <w:jc w:val="center"/>
              <w:rPr>
                <w:rFonts w:hint="eastAsia" w:ascii="微软雅黑" w:hAnsi="微软雅黑" w:eastAsia="微软雅黑" w:cs="微软雅黑"/>
              </w:rPr>
            </w:pPr>
            <w:r>
              <w:rPr>
                <w:rFonts w:hint="eastAsia" w:ascii="微软雅黑" w:hAnsi="微软雅黑" w:eastAsia="微软雅黑" w:cs="微软雅黑"/>
                <w:b w:val="0"/>
                <w:sz w:val="20"/>
              </w:rPr>
              <w:t>-1.5%</w:t>
            </w:r>
          </w:p>
        </w:tc>
        <w:tc>
          <w:tcPr>
            <w:tcW w:w="1250" w:type="pct"/>
            <w:vAlign w:val="center"/>
          </w:tcPr>
          <w:p w14:paraId="4A5BAF07">
            <w:pPr>
              <w:jc w:val="center"/>
              <w:rPr>
                <w:rFonts w:hint="eastAsia" w:ascii="微软雅黑" w:hAnsi="微软雅黑" w:eastAsia="微软雅黑" w:cs="微软雅黑"/>
              </w:rPr>
            </w:pPr>
            <w:r>
              <w:rPr>
                <w:rFonts w:hint="eastAsia" w:ascii="微软雅黑" w:hAnsi="微软雅黑" w:eastAsia="微软雅黑" w:cs="微软雅黑"/>
                <w:b w:val="0"/>
                <w:sz w:val="20"/>
              </w:rPr>
              <w:t>-3.6%</w:t>
            </w:r>
          </w:p>
        </w:tc>
      </w:tr>
      <w:tr w14:paraId="09AF1313">
        <w:tblPrEx>
          <w:tblBorders>
            <w:top w:val="single" w:color="B7C3D0" w:sz="8" w:space="0"/>
            <w:left w:val="single" w:color="B7C3D0" w:sz="8" w:space="0"/>
            <w:bottom w:val="single" w:color="B7C3D0" w:sz="8" w:space="0"/>
            <w:right w:val="single" w:color="B7C3D0" w:sz="8" w:space="0"/>
            <w:insideH w:val="single" w:color="B7C3D0" w:sz="8" w:space="0"/>
            <w:insideV w:val="single" w:color="B7C3D0" w:sz="8" w:space="0"/>
          </w:tblBorders>
          <w:tblCellMar>
            <w:top w:w="0" w:type="dxa"/>
            <w:left w:w="108" w:type="dxa"/>
            <w:bottom w:w="0" w:type="dxa"/>
            <w:right w:w="108" w:type="dxa"/>
          </w:tblCellMar>
        </w:tblPrEx>
        <w:tc>
          <w:tcPr>
            <w:tcW w:w="1250" w:type="pct"/>
            <w:vAlign w:val="center"/>
          </w:tcPr>
          <w:p w14:paraId="4DD2BB6D">
            <w:pPr>
              <w:jc w:val="center"/>
              <w:rPr>
                <w:rFonts w:hint="eastAsia" w:ascii="微软雅黑" w:hAnsi="微软雅黑" w:eastAsia="微软雅黑" w:cs="微软雅黑"/>
              </w:rPr>
            </w:pPr>
            <w:r>
              <w:rPr>
                <w:rFonts w:hint="eastAsia" w:ascii="微软雅黑" w:hAnsi="微软雅黑" w:eastAsia="微软雅黑" w:cs="微软雅黑"/>
                <w:b w:val="0"/>
                <w:sz w:val="20"/>
              </w:rPr>
              <w:t>综合情景</w:t>
            </w:r>
          </w:p>
        </w:tc>
        <w:tc>
          <w:tcPr>
            <w:tcW w:w="1250" w:type="pct"/>
            <w:vAlign w:val="center"/>
          </w:tcPr>
          <w:p w14:paraId="5F16CAD6">
            <w:pPr>
              <w:jc w:val="center"/>
              <w:rPr>
                <w:rFonts w:hint="eastAsia" w:ascii="微软雅黑" w:hAnsi="微软雅黑" w:eastAsia="微软雅黑" w:cs="微软雅黑"/>
              </w:rPr>
            </w:pPr>
            <w:r>
              <w:rPr>
                <w:rFonts w:hint="eastAsia" w:ascii="微软雅黑" w:hAnsi="微软雅黑" w:eastAsia="微软雅黑" w:cs="微软雅黑"/>
                <w:b w:val="0"/>
                <w:sz w:val="20"/>
              </w:rPr>
              <w:t>65.8</w:t>
            </w:r>
          </w:p>
        </w:tc>
        <w:tc>
          <w:tcPr>
            <w:tcW w:w="1250" w:type="pct"/>
            <w:vAlign w:val="center"/>
          </w:tcPr>
          <w:p w14:paraId="7E940CAC">
            <w:pPr>
              <w:jc w:val="center"/>
              <w:rPr>
                <w:rFonts w:hint="eastAsia" w:ascii="微软雅黑" w:hAnsi="微软雅黑" w:eastAsia="微软雅黑" w:cs="微软雅黑"/>
              </w:rPr>
            </w:pPr>
            <w:r>
              <w:rPr>
                <w:rFonts w:hint="eastAsia" w:ascii="微软雅黑" w:hAnsi="微软雅黑" w:eastAsia="微软雅黑" w:cs="微软雅黑"/>
                <w:b w:val="0"/>
                <w:sz w:val="20"/>
              </w:rPr>
              <w:t>-9.3%</w:t>
            </w:r>
          </w:p>
        </w:tc>
        <w:tc>
          <w:tcPr>
            <w:tcW w:w="1250" w:type="pct"/>
            <w:vAlign w:val="center"/>
          </w:tcPr>
          <w:p w14:paraId="1CF13209">
            <w:pPr>
              <w:jc w:val="center"/>
              <w:rPr>
                <w:rFonts w:hint="eastAsia" w:ascii="微软雅黑" w:hAnsi="微软雅黑" w:eastAsia="微软雅黑" w:cs="微软雅黑"/>
              </w:rPr>
            </w:pPr>
            <w:r>
              <w:rPr>
                <w:rFonts w:hint="eastAsia" w:ascii="微软雅黑" w:hAnsi="微软雅黑" w:eastAsia="微软雅黑" w:cs="微软雅黑"/>
                <w:b w:val="0"/>
                <w:sz w:val="20"/>
              </w:rPr>
              <w:t>-11.3%</w:t>
            </w:r>
          </w:p>
        </w:tc>
      </w:tr>
    </w:tbl>
    <w:p w14:paraId="34F922F4">
      <w:pPr>
        <w:pStyle w:val="19"/>
        <w:widowControl/>
        <w:rPr>
          <w:rFonts w:ascii="Times New Roman" w:hAnsi="Calibri" w:eastAsia="宋体" w:cs="Times New Roman"/>
          <w:sz w:val="24"/>
        </w:rPr>
      </w:pPr>
      <w:r>
        <w:rPr>
          <w:rFonts w:ascii="Times New Roman" w:hAnsi="Calibri" w:eastAsia="宋体" w:cs="Times New Roman"/>
          <w:sz w:val="24"/>
        </w:rPr>
        <w:t>从管理含义上看，综合情景优于单项措施情景，说明县域农业减排并非依赖单一技术突破，而需要在施肥、水分、秸秆和土壤管理上形成组合拳。对寿县而言，瓦埠湖沿岸高排放乡镇可优先纳入施肥减量与稻田节水灌溉试点，中低排放区域则应更强调秸秆资源化利用和土壤碳汇保护。</w:t>
      </w:r>
    </w:p>
    <w:p w14:paraId="202B5907">
      <w:pPr>
        <w:pStyle w:val="3"/>
        <w:keepNext/>
        <w:widowControl/>
        <w:numPr>
          <w:ilvl w:val="0"/>
          <w:numId w:val="0"/>
        </w:numPr>
        <w:topLinePunct w:val="0"/>
        <w:ind w:leftChars="0"/>
        <w:rPr>
          <w:rFonts w:hint="eastAsia" w:ascii="黑体" w:hAnsi="黑体" w:eastAsia="黑体" w:cs="黑体"/>
          <w:b w:val="0"/>
        </w:rPr>
      </w:pPr>
      <w:bookmarkStart w:id="38" w:name="_Toc17052"/>
      <w:bookmarkStart w:id="39" w:name="_Toc12105"/>
      <w:r>
        <w:rPr>
          <w:rFonts w:hint="eastAsia"/>
          <w:lang w:eastAsia="zh-CN"/>
        </w:rPr>
        <w:t>六、</w:t>
      </w:r>
      <w:r>
        <w:t>研究结论、政策建议与局限性</w:t>
      </w:r>
      <w:bookmarkEnd w:id="38"/>
      <w:bookmarkEnd w:id="39"/>
    </w:p>
    <w:p w14:paraId="7A11988F">
      <w:pPr>
        <w:pStyle w:val="4"/>
        <w:keepNext/>
        <w:widowControl/>
        <w:numPr>
          <w:ilvl w:val="0"/>
          <w:numId w:val="0"/>
        </w:numPr>
        <w:topLinePunct w:val="0"/>
        <w:ind w:leftChars="0"/>
        <w:rPr>
          <w:rFonts w:hint="eastAsia" w:ascii="楷体" w:hAnsi="楷体" w:eastAsia="楷体" w:cs="楷体"/>
          <w:b w:val="0"/>
        </w:rPr>
      </w:pPr>
      <w:bookmarkStart w:id="40" w:name="_Toc20206"/>
      <w:bookmarkStart w:id="41" w:name="_Toc14326"/>
      <w:r>
        <w:rPr>
          <w:rFonts w:hint="eastAsia"/>
          <w:lang w:eastAsia="zh-CN"/>
        </w:rPr>
        <w:t>（一）</w:t>
      </w:r>
      <w:r>
        <w:t>主要结论</w:t>
      </w:r>
      <w:bookmarkEnd w:id="40"/>
      <w:bookmarkEnd w:id="41"/>
    </w:p>
    <w:p w14:paraId="54EC3BE6">
      <w:pPr>
        <w:pStyle w:val="19"/>
        <w:widowControl/>
        <w:rPr>
          <w:rFonts w:ascii="Times New Roman" w:hAnsi="Calibri" w:eastAsia="宋体" w:cs="Times New Roman"/>
          <w:sz w:val="24"/>
        </w:rPr>
      </w:pPr>
      <w:r>
        <w:rPr>
          <w:rFonts w:ascii="Times New Roman" w:hAnsi="Calibri" w:eastAsia="宋体" w:cs="Times New Roman"/>
          <w:sz w:val="24"/>
        </w:rPr>
        <w:t>第一，寿县具备开展县域农业碳排放核算研究的典型基础。粮食总产量高、稻麦轮作明显、农业活动规模大，使其成为观察粮食安全与绿色低碳转型协同关系的适宜样本。</w:t>
      </w:r>
    </w:p>
    <w:p w14:paraId="3B83D378">
      <w:pPr>
        <w:pStyle w:val="19"/>
        <w:widowControl/>
        <w:rPr>
          <w:rFonts w:ascii="Times New Roman" w:hAnsi="Calibri" w:eastAsia="宋体" w:cs="Times New Roman"/>
          <w:sz w:val="24"/>
        </w:rPr>
      </w:pPr>
      <w:r>
        <w:rPr>
          <w:rFonts w:ascii="Times New Roman" w:hAnsi="Calibri" w:eastAsia="宋体" w:cs="Times New Roman"/>
          <w:sz w:val="24"/>
        </w:rPr>
        <w:t>第二，初稿建立的“核算—识别—模拟”技术链总体是成立的。IPCC系数法用于总量核算、K-means用于热点分型、随机森林与SHAP用于驱动解释、LEAP框架用于情景模拟，逻辑上前后衔接较好。</w:t>
      </w:r>
    </w:p>
    <w:p w14:paraId="2FCB10EE">
      <w:pPr>
        <w:pStyle w:val="19"/>
        <w:widowControl/>
        <w:rPr>
          <w:rFonts w:ascii="Times New Roman" w:hAnsi="Calibri" w:eastAsia="宋体" w:cs="Times New Roman"/>
          <w:sz w:val="24"/>
        </w:rPr>
      </w:pPr>
      <w:r>
        <w:rPr>
          <w:rFonts w:ascii="Times New Roman" w:hAnsi="Calibri" w:eastAsia="宋体" w:cs="Times New Roman"/>
          <w:sz w:val="24"/>
        </w:rPr>
        <w:t>第三，从用户初稿测算结果看，化肥施用与稻田甲烷是寿县农业碳排放的主体来源，氮肥施用量、水稻播种面积和有效灌溉面积是关键影响因素。</w:t>
      </w:r>
    </w:p>
    <w:p w14:paraId="5842DE9E">
      <w:pPr>
        <w:pStyle w:val="19"/>
        <w:widowControl/>
        <w:rPr>
          <w:rFonts w:ascii="Times New Roman" w:hAnsi="Calibri" w:eastAsia="宋体" w:cs="Times New Roman"/>
          <w:sz w:val="24"/>
        </w:rPr>
      </w:pPr>
      <w:r>
        <w:rPr>
          <w:rFonts w:ascii="Times New Roman" w:hAnsi="Calibri" w:eastAsia="宋体" w:cs="Times New Roman"/>
          <w:sz w:val="24"/>
        </w:rPr>
        <w:t>第四，正式交付层面的最大风险并不在模型名称，而在文献与数据表述的严谨性。部分引用存在题名、作者、年份错配，部分长期序列和乡镇层面底表未随文附上，需在正式提交前完成复核。</w:t>
      </w:r>
    </w:p>
    <w:p w14:paraId="2CFAB1EA">
      <w:pPr>
        <w:pStyle w:val="4"/>
        <w:keepNext/>
        <w:widowControl/>
        <w:numPr>
          <w:ilvl w:val="0"/>
          <w:numId w:val="0"/>
        </w:numPr>
        <w:topLinePunct w:val="0"/>
        <w:ind w:leftChars="0"/>
        <w:rPr>
          <w:rFonts w:hint="eastAsia" w:ascii="楷体" w:hAnsi="楷体" w:eastAsia="楷体" w:cs="楷体"/>
          <w:b w:val="0"/>
        </w:rPr>
      </w:pPr>
      <w:bookmarkStart w:id="42" w:name="_Toc3245"/>
      <w:bookmarkStart w:id="43" w:name="_Toc26733"/>
      <w:r>
        <w:rPr>
          <w:rFonts w:hint="eastAsia"/>
          <w:lang w:eastAsia="zh-CN"/>
        </w:rPr>
        <w:t>（二）</w:t>
      </w:r>
      <w:r>
        <w:t>政策建议</w:t>
      </w:r>
      <w:bookmarkEnd w:id="42"/>
      <w:bookmarkEnd w:id="43"/>
    </w:p>
    <w:p w14:paraId="07C0DE06">
      <w:pPr>
        <w:pStyle w:val="19"/>
        <w:widowControl/>
        <w:numPr>
          <w:ilvl w:val="0"/>
          <w:numId w:val="0"/>
        </w:numPr>
        <w:ind w:left="0" w:leftChars="0" w:firstLine="480"/>
        <w:rPr>
          <w:rFonts w:hint="eastAsia" w:ascii="宋体" w:hAnsi="宋体" w:eastAsia="宋体" w:cs="宋体"/>
          <w:b w:val="0"/>
          <w:sz w:val="24"/>
        </w:rPr>
      </w:pPr>
      <w:r>
        <w:rPr>
          <w:rFonts w:hint="eastAsia" w:cs="Times New Roman"/>
          <w:sz w:val="24"/>
          <w:lang w:eastAsia="zh-CN"/>
        </w:rPr>
        <w:t xml:space="preserve">一是 </w:t>
      </w:r>
      <w:r>
        <w:rPr>
          <w:rFonts w:ascii="Times New Roman" w:hAnsi="Calibri" w:eastAsia="宋体" w:cs="Times New Roman"/>
          <w:sz w:val="24"/>
        </w:rPr>
        <w:t>以高排放乡镇为重点实施差异化减排策略。对瓦埠湖沿岸稻作集中区，优先推进测土配方施肥、减氮增效和节水灌溉；对一般区域，可同步推进秸秆还田和有机肥替代。</w:t>
      </w:r>
    </w:p>
    <w:p w14:paraId="1BE36321">
      <w:pPr>
        <w:pStyle w:val="19"/>
        <w:widowControl/>
        <w:numPr>
          <w:ilvl w:val="0"/>
          <w:numId w:val="0"/>
        </w:numPr>
        <w:ind w:left="0" w:leftChars="0" w:firstLine="480"/>
        <w:rPr>
          <w:rFonts w:hint="eastAsia" w:ascii="宋体" w:hAnsi="宋体" w:eastAsia="宋体" w:cs="宋体"/>
          <w:b w:val="0"/>
          <w:sz w:val="24"/>
        </w:rPr>
      </w:pPr>
      <w:r>
        <w:rPr>
          <w:rFonts w:hint="eastAsia" w:cs="Times New Roman"/>
          <w:sz w:val="24"/>
          <w:lang w:eastAsia="zh-CN"/>
        </w:rPr>
        <w:t xml:space="preserve">二是 </w:t>
      </w:r>
      <w:r>
        <w:rPr>
          <w:rFonts w:ascii="Times New Roman" w:hAnsi="Calibri" w:eastAsia="宋体" w:cs="Times New Roman"/>
          <w:sz w:val="24"/>
        </w:rPr>
        <w:t>建立县域农业碳排放监测与核算机制。依托统计部门、农业农村部门和现有农田通量观测研究基础，逐步形成“活动数据—排放因子—空间底图—情景参数”的长期数据库。</w:t>
      </w:r>
    </w:p>
    <w:p w14:paraId="6B9BE660">
      <w:pPr>
        <w:pStyle w:val="19"/>
        <w:widowControl/>
        <w:numPr>
          <w:ilvl w:val="0"/>
          <w:numId w:val="0"/>
        </w:numPr>
        <w:ind w:left="0" w:leftChars="0" w:firstLine="480"/>
        <w:rPr>
          <w:rFonts w:hint="eastAsia" w:ascii="宋体" w:hAnsi="宋体" w:eastAsia="宋体" w:cs="宋体"/>
          <w:b w:val="0"/>
          <w:sz w:val="24"/>
        </w:rPr>
      </w:pPr>
      <w:r>
        <w:rPr>
          <w:rFonts w:hint="eastAsia" w:cs="Times New Roman"/>
          <w:sz w:val="24"/>
          <w:lang w:eastAsia="zh-CN"/>
        </w:rPr>
        <w:t xml:space="preserve">三是 </w:t>
      </w:r>
      <w:r>
        <w:rPr>
          <w:rFonts w:ascii="Times New Roman" w:hAnsi="Calibri" w:eastAsia="宋体" w:cs="Times New Roman"/>
          <w:sz w:val="24"/>
        </w:rPr>
        <w:t>探索农业减排与增产稳产协同评价。寿县作为粮食大县，应避免把碳减排理解为简单压减投入，而应以提高肥料利用效率、优化灌排制度和增强土壤固碳为主线，实现单位产量碳排放下降。</w:t>
      </w:r>
    </w:p>
    <w:p w14:paraId="234CC5C9">
      <w:pPr>
        <w:pStyle w:val="4"/>
        <w:keepNext/>
        <w:widowControl/>
        <w:numPr>
          <w:ilvl w:val="0"/>
          <w:numId w:val="0"/>
        </w:numPr>
        <w:topLinePunct w:val="0"/>
        <w:ind w:leftChars="0"/>
        <w:rPr>
          <w:rFonts w:hint="eastAsia" w:ascii="楷体" w:hAnsi="楷体" w:eastAsia="楷体" w:cs="楷体"/>
          <w:b w:val="0"/>
        </w:rPr>
      </w:pPr>
      <w:bookmarkStart w:id="44" w:name="_Toc25691"/>
      <w:bookmarkStart w:id="45" w:name="_Toc19748"/>
      <w:r>
        <w:rPr>
          <w:rFonts w:hint="eastAsia"/>
          <w:lang w:eastAsia="zh-CN"/>
        </w:rPr>
        <w:t>（三）</w:t>
      </w:r>
      <w:r>
        <w:t>研究局限性</w:t>
      </w:r>
      <w:bookmarkEnd w:id="44"/>
      <w:bookmarkEnd w:id="45"/>
    </w:p>
    <w:p w14:paraId="7CD91C49">
      <w:pPr>
        <w:pStyle w:val="19"/>
        <w:widowControl/>
        <w:rPr>
          <w:rFonts w:ascii="Times New Roman" w:hAnsi="Calibri" w:eastAsia="宋体" w:cs="Times New Roman"/>
          <w:sz w:val="24"/>
        </w:rPr>
      </w:pPr>
      <w:r>
        <w:rPr>
          <w:rFonts w:ascii="Times New Roman" w:hAnsi="Calibri" w:eastAsia="宋体" w:cs="Times New Roman"/>
          <w:sz w:val="24"/>
        </w:rPr>
        <w:t>本稿仍有三点局限：其一，未取得初稿全部原始数据文件和LEAP工程文件，故无法在本次会话中完全复算所有结果；其二，部分长序列数据来源在初稿中标示为“寿县统计年鉴（2000—2025）”，但未在公开网络检索到可直接核验入口；其三，乡镇空间结果缺少底图和权重矩阵说明。也正因如此，本稿在附录中加入了详细的核验说明，以便你后续有针对性地补证。</w:t>
      </w:r>
    </w:p>
    <w:p w14:paraId="4C87C54C">
      <w:bookmarkStart w:id="46" w:name="_Toc13764"/>
      <w:r>
        <w:br w:type="page"/>
      </w:r>
    </w:p>
    <w:p w14:paraId="424ED2F0">
      <w:pPr>
        <w:pStyle w:val="183"/>
        <w:pageBreakBefore/>
        <w:widowControl/>
      </w:pPr>
      <w:bookmarkStart w:id="47" w:name="_Toc1431"/>
      <w:r>
        <w:t>参考文献</w:t>
      </w:r>
      <w:bookmarkEnd w:id="46"/>
      <w:bookmarkEnd w:id="47"/>
    </w:p>
    <w:p w14:paraId="3ECDD991">
      <w:pPr>
        <w:pStyle w:val="171"/>
        <w:widowControl/>
        <w:ind w:left="964" w:leftChars="0" w:hanging="482" w:firstLineChars="0"/>
      </w:pPr>
      <w:r>
        <w:t>[01]中国统计教育学会. 关于举办2026年（第十二届）全国大学生统计建模大赛的通知[EB/OL]. 2026-03-10.</w:t>
      </w:r>
    </w:p>
    <w:p w14:paraId="0E08B1E7">
      <w:pPr>
        <w:pStyle w:val="171"/>
        <w:widowControl/>
        <w:ind w:left="964" w:leftChars="0" w:hanging="482" w:firstLineChars="0"/>
      </w:pPr>
      <w:r>
        <w:t>[01]中华人民共和国国民经济和社会发展第十五个五年规划纲要[EB/OL]. 2026-03-14.</w:t>
      </w:r>
    </w:p>
    <w:p w14:paraId="25DB5586">
      <w:pPr>
        <w:pStyle w:val="171"/>
        <w:widowControl/>
        <w:ind w:left="964" w:leftChars="0" w:hanging="482" w:firstLineChars="0"/>
      </w:pPr>
      <w:r>
        <w:t>[01]中共中央 国务院. 关于锚定农业农村现代化 扎实推进乡村全面振兴的意见[EB/OL]. 2026-02-03.</w:t>
      </w:r>
    </w:p>
    <w:p w14:paraId="5C8438E8">
      <w:pPr>
        <w:pStyle w:val="171"/>
        <w:widowControl/>
        <w:ind w:left="964" w:leftChars="0" w:hanging="482" w:firstLineChars="0"/>
      </w:pPr>
      <w:r>
        <w:t>[01]寿县统计局. 寿县2024年国民经济和社会发展统计公报[EB/OL]. 2025-06-19.</w:t>
      </w:r>
    </w:p>
    <w:p w14:paraId="695728B6">
      <w:pPr>
        <w:pStyle w:val="171"/>
        <w:widowControl/>
        <w:ind w:left="964" w:leftChars="0" w:hanging="482" w:firstLineChars="0"/>
      </w:pPr>
      <w:r>
        <w:t>[01]寿县统计局. 寿县2023年国民经济和社会发展统计公报[EB/OL]. 2024-02-06.</w:t>
      </w:r>
    </w:p>
    <w:p w14:paraId="66A58A1A">
      <w:pPr>
        <w:pStyle w:val="171"/>
        <w:widowControl/>
        <w:ind w:left="964" w:leftChars="0" w:hanging="482" w:firstLineChars="0"/>
      </w:pPr>
      <w:r>
        <w:t>[01]方砚秋, 张方敏, 虞晓兰, 等. 稻麦轮作农田CH4通量特征及对降雨的短期响应[J]. 气象科学, 2025, 45(4): 603-613.</w:t>
      </w:r>
    </w:p>
    <w:p w14:paraId="6C683F29">
      <w:pPr>
        <w:pStyle w:val="171"/>
        <w:widowControl/>
        <w:ind w:left="964" w:leftChars="0" w:hanging="482" w:firstLineChars="0"/>
      </w:pPr>
      <w:r>
        <w:t>[01]张凯迪, 姚筠, 凌新锋, 等. 淮河流域稻麦轮作农田生态系统通量源区分布特征[J]. 生态学杂志, 2024, 43(10): 3113-3120. DOI:10.13292/j.1000-4890.202410.002.</w:t>
      </w:r>
    </w:p>
    <w:p w14:paraId="06382544">
      <w:pPr>
        <w:pStyle w:val="171"/>
        <w:widowControl/>
        <w:ind w:left="964" w:leftChars="0" w:hanging="482" w:firstLineChars="0"/>
      </w:pPr>
      <w:r>
        <w:t>[01]孙建飞, 程琨. 农田土壤固碳与温室气体排放计量研究进展[J]. 中国农业科学, 2025, 58(11): 2190-2205. DOI:10.3864/j.issn.0578-1752.2025.11.009.</w:t>
      </w:r>
    </w:p>
    <w:p w14:paraId="1CD36254">
      <w:pPr>
        <w:pStyle w:val="171"/>
        <w:widowControl/>
        <w:ind w:left="964" w:leftChars="0" w:hanging="482" w:firstLineChars="0"/>
      </w:pPr>
      <w:r>
        <w:t>[01]张再杰, 杨伟芳. 湖北省农业碳排放及基于K-means聚类算法的县级碳排放研究[J]. 云南农业大学学报（社会科学）, 2023, 17(2): 134-140. DOI:10.12371/j.ynau(s).202209104.</w:t>
      </w:r>
    </w:p>
    <w:p w14:paraId="39F3CF25">
      <w:pPr>
        <w:pStyle w:val="171"/>
        <w:widowControl/>
        <w:ind w:left="964" w:leftChars="0" w:hanging="482" w:firstLineChars="0"/>
      </w:pPr>
      <w:r>
        <w:t>[01]党照亮, 段理杰, 魏未, 等. 市县级农业温室气体清单编制的研究与探讨[J]. 资源节约与环保, 2020(1): 119-120, 122.</w:t>
      </w:r>
    </w:p>
    <w:p w14:paraId="4ADB7AA6">
      <w:pPr>
        <w:pStyle w:val="171"/>
        <w:widowControl/>
        <w:ind w:left="964" w:leftChars="0" w:hanging="482" w:firstLineChars="0"/>
      </w:pPr>
      <w:r>
        <w:t>[01]Wang Y, Hu L, Hou L, et al. Study on carbon emission influencing factors and carbon emission reduction potential in China's food production industry[J]. Environmental Research, 2024, 261:119702. DOI:10.1016/j.envres.2024.119702.</w:t>
      </w:r>
    </w:p>
    <w:p w14:paraId="584D1A74">
      <w:pPr>
        <w:pStyle w:val="171"/>
        <w:pageBreakBefore/>
        <w:widowControl/>
        <w:ind w:left="964" w:leftChars="0" w:hanging="482" w:firstLineChars="0"/>
      </w:pPr>
      <w:r>
        <w:t>[01]谢良玉, 杨书运, 张彩林, 等. 安徽省农业源温室气体排放特征研究[J]. 中国农学通报, 2020, 36(35): 88-91. DOI:10.11924/j.issn.1000-6850.casb20191200979.</w:t>
      </w:r>
      <w:bookmarkStart w:id="48" w:name="_Toc29215"/>
      <w:r>
        <w:br w:type="page"/>
      </w:r>
    </w:p>
    <w:p w14:paraId="5EF2E3A7">
      <w:pPr>
        <w:pStyle w:val="182"/>
        <w:keepNext/>
        <w:pageBreakBefore/>
        <w:widowControl/>
      </w:pPr>
      <w:bookmarkStart w:id="49" w:name="_Toc24498"/>
      <w:r>
        <w:t>致</w:t>
      </w:r>
      <w:r>
        <w:rPr>
          <w:rFonts w:hint="eastAsia"/>
          <w:lang w:eastAsia="zh-CN"/>
        </w:rPr>
        <w:t xml:space="preserve">  </w:t>
      </w:r>
      <w:r>
        <w:t>谢</w:t>
      </w:r>
      <w:bookmarkEnd w:id="48"/>
      <w:bookmarkEnd w:id="49"/>
    </w:p>
    <w:p w14:paraId="4FECBC35">
      <w:pPr>
        <w:pStyle w:val="181"/>
        <w:widowControl/>
        <w:rPr>
          <w:rFonts w:ascii="Times New Roman" w:hAnsi="Calibri" w:eastAsia="宋体" w:cs="Times New Roman"/>
          <w:sz w:val="24"/>
        </w:rPr>
      </w:pPr>
      <w:r>
        <w:rPr>
          <w:rFonts w:ascii="Times New Roman" w:hAnsi="Calibri" w:eastAsia="宋体" w:cs="Times New Roman"/>
          <w:sz w:val="24"/>
        </w:rPr>
        <w:t>感谢大赛组委会提供的学术交流平台。感谢寿县人民政府、农业农村部、教育部及相关期刊网站提供公开资料。感谢用户提供初稿和优秀作品样稿，使本次修订能够在保持研究主线的基础上提升为更规范的学术表达。</w:t>
      </w:r>
    </w:p>
    <w:sectPr>
      <w:pgSz w:w="12240" w:h="15840"/>
      <w:pgMar w:top="1440" w:right="1474" w:bottom="1440" w:left="147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Courier">
    <w:altName w:val="微软雅黑"/>
    <w:panose1 w:val="02000500000000000000"/>
    <w:charset w:val="00"/>
    <w:family w:val="auto"/>
    <w:pitch w:val="default"/>
    <w:sig w:usb0="00000000" w:usb1="00000000" w:usb2="00000000" w:usb3="00000000" w:csb0="00000001" w:csb1="00000000"/>
  </w:font>
  <w:font w:name="微软雅黑">
    <w:panose1 w:val="020B0503020204020204"/>
    <w:charset w:val="86"/>
    <w:family w:val="auto"/>
    <w:pitch w:val="default"/>
    <w:sig w:usb0="80000287" w:usb1="2ACF3C50" w:usb2="00000016" w:usb3="00000000" w:csb0="0004001F" w:csb1="00000000"/>
  </w:font>
  <w:font w:name="ＭＳ 明朝">
    <w:altName w:val="微软雅黑"/>
    <w:panose1 w:val="00000000000000000000"/>
    <w:charset w:val="80"/>
    <w:family w:val="roman"/>
    <w:pitch w:val="default"/>
    <w:sig w:usb0="00000000" w:usb1="00000000" w:usb2="00000010" w:usb3="00000000" w:csb0="00020000" w:csb1="00000000"/>
  </w:font>
  <w:font w:name="方正小标宋简体">
    <w:altName w:val="方正舒体"/>
    <w:panose1 w:val="00000000000000000000"/>
    <w:charset w:val="00"/>
    <w:family w:val="auto"/>
    <w:pitch w:val="default"/>
    <w:sig w:usb0="00000000" w:usb1="00000000" w:usb2="00000000" w:usb3="00000000" w:csb0="00000000" w:csb1="00000000"/>
  </w:font>
  <w:font w:name="方正舒体">
    <w:panose1 w:val="02010601030101010101"/>
    <w:charset w:val="86"/>
    <w:family w:val="auto"/>
    <w:pitch w:val="default"/>
    <w:sig w:usb0="00000003" w:usb1="080E0000" w:usb2="00000000" w:usb3="00000000" w:csb0="00040000" w:csb1="00000000"/>
  </w:font>
  <w:font w:name="Calibri Light">
    <w:panose1 w:val="020F0302020204030204"/>
    <w:charset w:val="00"/>
    <w:family w:val="auto"/>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ambria">
    <w:panose1 w:val="02040503050406030204"/>
    <w:charset w:val="00"/>
    <w:family w:val="auto"/>
    <w:pitch w:val="default"/>
    <w:sig w:usb0="E00006FF" w:usb1="420024FF" w:usb2="02000000" w:usb3="00000000" w:csb0="2000019F" w:csb1="00000000"/>
  </w:font>
  <w:font w:name="ＭＳ 明朝">
    <w:altName w:val="微软雅黑"/>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5C333C8"/>
    <w:rsid w:val="604F6C39"/>
    <w:rsid w:val="7DE00414"/>
    <w:rsid w:val="7F93049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2"/>
      <w:szCs w:val="22"/>
      <w:lang w:val="en-US" w:eastAsia="en-US" w:bidi="ar-SA"/>
    </w:rPr>
  </w:style>
  <w:style w:type="paragraph" w:styleId="3">
    <w:name w:val="heading 1"/>
    <w:next w:val="1"/>
    <w:link w:val="141"/>
    <w:qFormat/>
    <w:uiPriority w:val="9"/>
    <w:pPr>
      <w:widowControl w:val="0"/>
      <w:spacing w:line="480" w:lineRule="exact"/>
      <w:jc w:val="center"/>
      <w:outlineLvl w:val="0"/>
    </w:pPr>
    <w:rPr>
      <w:rFonts w:ascii="Times New Roman" w:hAnsi="Times New Roman" w:eastAsia="黑体" w:cs="Times New Roman"/>
      <w:kern w:val="2"/>
      <w:sz w:val="28"/>
      <w:szCs w:val="28"/>
      <w:lang w:bidi="ar-SA"/>
    </w:rPr>
  </w:style>
  <w:style w:type="paragraph" w:styleId="4">
    <w:name w:val="heading 2"/>
    <w:next w:val="1"/>
    <w:unhideWhenUsed/>
    <w:qFormat/>
    <w:uiPriority w:val="9"/>
    <w:pPr>
      <w:keepNext/>
      <w:keepLines/>
      <w:pageBreakBefore w:val="0"/>
      <w:widowControl w:val="0"/>
      <w:kinsoku/>
      <w:wordWrap/>
      <w:overflowPunct/>
      <w:topLinePunct w:val="0"/>
      <w:autoSpaceDE/>
      <w:autoSpaceDN/>
      <w:bidi w:val="0"/>
      <w:adjustRightInd/>
      <w:spacing w:before="260" w:after="260" w:line="480" w:lineRule="exact"/>
      <w:jc w:val="both"/>
      <w:textAlignment w:val="auto"/>
      <w:outlineLvl w:val="1"/>
    </w:pPr>
    <w:rPr>
      <w:rFonts w:ascii="Times New Roman" w:hAnsi="Times New Roman" w:eastAsia="楷体" w:cs="Times New Roman"/>
      <w:bCs/>
      <w:kern w:val="2"/>
      <w:sz w:val="28"/>
      <w:szCs w:val="28"/>
      <w:lang w:bidi="ar-SA"/>
    </w:rPr>
  </w:style>
  <w:style w:type="paragraph" w:styleId="5">
    <w:name w:val="heading 3"/>
    <w:next w:val="1"/>
    <w:unhideWhenUsed/>
    <w:qFormat/>
    <w:uiPriority w:val="9"/>
    <w:pPr>
      <w:keepNext w:val="0"/>
      <w:keepLines w:val="0"/>
      <w:pageBreakBefore w:val="0"/>
      <w:widowControl w:val="0"/>
      <w:kinsoku/>
      <w:wordWrap/>
      <w:overflowPunct/>
      <w:topLinePunct w:val="0"/>
      <w:autoSpaceDE/>
      <w:autoSpaceDN/>
      <w:bidi w:val="0"/>
      <w:adjustRightInd/>
      <w:spacing w:before="181" w:beforeLines="50" w:after="181" w:afterLines="50" w:line="480" w:lineRule="exact"/>
      <w:ind w:firstLine="482" w:firstLineChars="200"/>
      <w:jc w:val="both"/>
      <w:textAlignment w:val="auto"/>
      <w:outlineLvl w:val="2"/>
    </w:pPr>
    <w:rPr>
      <w:rFonts w:ascii="宋体" w:hAnsi="宋体" w:eastAsia="宋体" w:cs="宋体"/>
      <w:b/>
      <w:kern w:val="2"/>
      <w:sz w:val="24"/>
      <w:szCs w:val="24"/>
      <w:lang w:bidi="ar-SA"/>
    </w:rPr>
  </w:style>
  <w:style w:type="paragraph" w:styleId="6">
    <w:name w:val="heading 4"/>
    <w:next w:val="1"/>
    <w:link w:val="153"/>
    <w:semiHidden/>
    <w:unhideWhenUsed/>
    <w:qFormat/>
    <w:uiPriority w:val="9"/>
    <w:pPr>
      <w:keepNext/>
      <w:keepLines/>
      <w:widowControl w:val="0"/>
      <w:adjustRightInd w:val="0"/>
      <w:spacing w:before="50" w:beforeLines="50" w:after="50" w:afterLines="50" w:line="360" w:lineRule="auto"/>
      <w:jc w:val="both"/>
      <w:outlineLvl w:val="3"/>
    </w:pPr>
    <w:rPr>
      <w:rFonts w:ascii="Times New Roman" w:hAnsi="Times New Roman" w:eastAsia="黑体" w:cs="Times New Roman"/>
      <w:b/>
      <w:bCs/>
      <w:kern w:val="2"/>
      <w:sz w:val="28"/>
      <w:szCs w:val="28"/>
      <w:lang w:bidi="ar-SA"/>
    </w:rPr>
  </w:style>
  <w:style w:type="paragraph" w:styleId="7">
    <w:name w:val="heading 5"/>
    <w:next w:val="1"/>
    <w:link w:val="154"/>
    <w:semiHidden/>
    <w:unhideWhenUsed/>
    <w:qFormat/>
    <w:uiPriority w:val="9"/>
    <w:pPr>
      <w:keepNext/>
      <w:keepLines/>
      <w:widowControl w:val="0"/>
      <w:adjustRightInd w:val="0"/>
      <w:spacing w:before="50" w:beforeLines="50" w:after="50" w:afterLines="50" w:line="360" w:lineRule="auto"/>
      <w:jc w:val="both"/>
      <w:outlineLvl w:val="4"/>
    </w:pPr>
    <w:rPr>
      <w:rFonts w:ascii="Times New Roman" w:hAnsi="Times New Roman" w:eastAsia="黑体" w:cs="Times New Roman"/>
      <w:b/>
      <w:bCs/>
      <w:kern w:val="2"/>
      <w:sz w:val="28"/>
      <w:szCs w:val="28"/>
      <w:lang w:bidi="ar-SA"/>
    </w:rPr>
  </w:style>
  <w:style w:type="paragraph" w:styleId="8">
    <w:name w:val="heading 6"/>
    <w:next w:val="1"/>
    <w:link w:val="155"/>
    <w:semiHidden/>
    <w:unhideWhenUsed/>
    <w:qFormat/>
    <w:uiPriority w:val="9"/>
    <w:pPr>
      <w:keepNext/>
      <w:keepLines/>
      <w:widowControl w:val="0"/>
      <w:adjustRightInd w:val="0"/>
      <w:spacing w:before="50" w:beforeLines="50" w:after="50" w:afterLines="50" w:line="360" w:lineRule="auto"/>
      <w:jc w:val="both"/>
      <w:outlineLvl w:val="5"/>
    </w:pPr>
    <w:rPr>
      <w:rFonts w:ascii="Times New Roman" w:hAnsi="Times New Roman" w:eastAsia="黑体" w:cs="Times New Roman"/>
      <w:b/>
      <w:bCs/>
      <w:kern w:val="2"/>
      <w:sz w:val="24"/>
      <w:szCs w:val="24"/>
      <w:lang w:bidi="ar-SA"/>
    </w:rPr>
  </w:style>
  <w:style w:type="paragraph" w:styleId="9">
    <w:name w:val="heading 7"/>
    <w:next w:val="1"/>
    <w:link w:val="156"/>
    <w:semiHidden/>
    <w:unhideWhenUsed/>
    <w:qFormat/>
    <w:uiPriority w:val="9"/>
    <w:pPr>
      <w:keepNext/>
      <w:keepLines/>
      <w:widowControl w:val="0"/>
      <w:adjustRightInd w:val="0"/>
      <w:spacing w:before="50" w:beforeLines="50" w:after="50" w:afterLines="50" w:line="360" w:lineRule="auto"/>
      <w:jc w:val="both"/>
      <w:outlineLvl w:val="6"/>
    </w:pPr>
    <w:rPr>
      <w:rFonts w:ascii="Times New Roman" w:hAnsi="Times New Roman" w:eastAsia="黑体" w:cs="Times New Roman"/>
      <w:b/>
      <w:bCs/>
      <w:kern w:val="2"/>
      <w:sz w:val="24"/>
      <w:szCs w:val="24"/>
      <w:lang w:bidi="ar-SA"/>
    </w:rPr>
  </w:style>
  <w:style w:type="paragraph" w:styleId="10">
    <w:name w:val="heading 8"/>
    <w:next w:val="1"/>
    <w:link w:val="157"/>
    <w:semiHidden/>
    <w:unhideWhenUsed/>
    <w:qFormat/>
    <w:uiPriority w:val="9"/>
    <w:pPr>
      <w:keepNext/>
      <w:keepLines/>
      <w:widowControl w:val="0"/>
      <w:adjustRightInd w:val="0"/>
      <w:spacing w:before="50" w:beforeLines="50" w:after="50" w:afterLines="50" w:line="360" w:lineRule="auto"/>
      <w:jc w:val="both"/>
      <w:outlineLvl w:val="7"/>
    </w:pPr>
    <w:rPr>
      <w:rFonts w:ascii="Times New Roman" w:hAnsi="Times New Roman" w:eastAsia="黑体" w:cs="Times New Roman"/>
      <w:kern w:val="2"/>
      <w:sz w:val="24"/>
      <w:szCs w:val="24"/>
      <w:lang w:bidi="ar-SA"/>
    </w:rPr>
  </w:style>
  <w:style w:type="paragraph" w:styleId="11">
    <w:name w:val="heading 9"/>
    <w:next w:val="1"/>
    <w:link w:val="158"/>
    <w:semiHidden/>
    <w:unhideWhenUsed/>
    <w:qFormat/>
    <w:uiPriority w:val="9"/>
    <w:pPr>
      <w:keepNext/>
      <w:keepLines/>
      <w:widowControl w:val="0"/>
      <w:adjustRightInd w:val="0"/>
      <w:spacing w:before="50" w:beforeLines="50" w:after="50" w:afterLines="50" w:line="360" w:lineRule="auto"/>
      <w:jc w:val="both"/>
      <w:outlineLvl w:val="8"/>
    </w:pPr>
    <w:rPr>
      <w:rFonts w:ascii="Times New Roman" w:hAnsi="Times New Roman" w:eastAsia="黑体" w:cs="Times New Roman"/>
      <w:kern w:val="2"/>
      <w:sz w:val="21"/>
      <w:szCs w:val="21"/>
      <w:lang w:bidi="ar-SA"/>
    </w:rPr>
  </w:style>
  <w:style w:type="character" w:default="1" w:styleId="135">
    <w:name w:val="Default Paragraph Font"/>
    <w:autoRedefine/>
    <w:semiHidden/>
    <w:unhideWhenUsed/>
    <w:qFormat/>
    <w:uiPriority w:val="1"/>
  </w:style>
  <w:style w:type="table" w:default="1" w:styleId="35">
    <w:name w:val="Normal Table"/>
    <w:semiHidden/>
    <w:unhideWhenUsed/>
    <w:qFormat/>
    <w:uiPriority w:val="99"/>
    <w:tblPr>
      <w:tblCellMar>
        <w:top w:w="0" w:type="dxa"/>
        <w:left w:w="108" w:type="dxa"/>
        <w:bottom w:w="0" w:type="dxa"/>
        <w:right w:w="108" w:type="dxa"/>
      </w:tblCellMar>
    </w:tblPr>
  </w:style>
  <w:style w:type="paragraph" w:styleId="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874CB"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9"/>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unhideWhenUsed/>
    <w:uiPriority w:val="99"/>
    <w:pPr>
      <w:widowControl w:val="0"/>
      <w:spacing w:line="480" w:lineRule="exact"/>
      <w:ind w:firstLine="480" w:firstLineChars="200"/>
      <w:jc w:val="both"/>
      <w:outlineLvl w:val="9"/>
    </w:pPr>
    <w:rPr>
      <w:rFonts w:ascii="Times New Roman" w:hAnsi="Calibri" w:eastAsia="宋体" w:cs="Times New Roman"/>
      <w:sz w:val="24"/>
    </w:r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next w:val="1"/>
    <w:semiHidden/>
    <w:unhideWhenUsed/>
    <w:uiPriority w:val="39"/>
    <w:pPr>
      <w:widowControl w:val="0"/>
      <w:adjustRightInd w:val="0"/>
      <w:spacing w:line="288" w:lineRule="auto"/>
      <w:ind w:left="840" w:leftChars="400"/>
      <w:jc w:val="both"/>
    </w:pPr>
    <w:rPr>
      <w:rFonts w:ascii="Calibri" w:hAnsi="Calibri" w:eastAsia="宋体" w:cs="Times New Roman"/>
      <w:kern w:val="2"/>
      <w:sz w:val="24"/>
      <w:szCs w:val="24"/>
      <w:lang w:bidi="ar-SA"/>
    </w:rPr>
  </w:style>
  <w:style w:type="paragraph" w:styleId="25">
    <w:name w:val="footer"/>
    <w:basedOn w:val="1"/>
    <w:link w:val="139"/>
    <w:unhideWhenUsed/>
    <w:uiPriority w:val="99"/>
    <w:pPr>
      <w:tabs>
        <w:tab w:val="center" w:pos="4680"/>
        <w:tab w:val="right" w:pos="9360"/>
      </w:tabs>
      <w:spacing w:after="0" w:line="240" w:lineRule="auto"/>
    </w:pPr>
  </w:style>
  <w:style w:type="paragraph" w:styleId="26">
    <w:name w:val="header"/>
    <w:basedOn w:val="1"/>
    <w:link w:val="138"/>
    <w:unhideWhenUsed/>
    <w:uiPriority w:val="99"/>
    <w:pPr>
      <w:tabs>
        <w:tab w:val="center" w:pos="4680"/>
        <w:tab w:val="right" w:pos="9360"/>
      </w:tabs>
      <w:spacing w:after="0" w:line="240" w:lineRule="auto"/>
    </w:pPr>
  </w:style>
  <w:style w:type="paragraph" w:styleId="27">
    <w:name w:val="toc 1"/>
    <w:next w:val="1"/>
    <w:semiHidden/>
    <w:unhideWhenUsed/>
    <w:uiPriority w:val="39"/>
    <w:pPr>
      <w:widowControl w:val="0"/>
      <w:adjustRightInd w:val="0"/>
      <w:spacing w:line="288" w:lineRule="auto"/>
      <w:jc w:val="both"/>
    </w:pPr>
    <w:rPr>
      <w:rFonts w:ascii="Calibri" w:hAnsi="Calibri" w:eastAsia="宋体" w:cs="Times New Roman"/>
      <w:kern w:val="2"/>
      <w:sz w:val="24"/>
      <w:szCs w:val="24"/>
      <w:lang w:bidi="ar-SA"/>
    </w:rPr>
  </w:style>
  <w:style w:type="paragraph" w:styleId="28">
    <w:name w:val="Subtitle"/>
    <w:next w:val="1"/>
    <w:qFormat/>
    <w:uiPriority w:val="11"/>
    <w:pPr>
      <w:widowControl w:val="0"/>
      <w:spacing w:line="480" w:lineRule="exact"/>
      <w:jc w:val="center"/>
      <w:outlineLvl w:val="9"/>
    </w:pPr>
    <w:rPr>
      <w:rFonts w:ascii="Times New Roman" w:hAnsi="Times New Roman" w:eastAsia="方正小标宋简体" w:cs="Times New Roman"/>
      <w:spacing w:val="-21"/>
      <w:kern w:val="2"/>
      <w:sz w:val="32"/>
      <w:szCs w:val="32"/>
      <w:lang w:bidi="ar-SA"/>
    </w:rPr>
  </w:style>
  <w:style w:type="paragraph" w:styleId="29">
    <w:name w:val="List"/>
    <w:basedOn w:val="1"/>
    <w:unhideWhenUsed/>
    <w:qFormat/>
    <w:uiPriority w:val="99"/>
    <w:pPr>
      <w:ind w:left="360" w:hanging="360"/>
      <w:contextualSpacing/>
    </w:pPr>
  </w:style>
  <w:style w:type="paragraph" w:styleId="30">
    <w:name w:val="toc 2"/>
    <w:next w:val="1"/>
    <w:semiHidden/>
    <w:unhideWhenUsed/>
    <w:uiPriority w:val="39"/>
    <w:pPr>
      <w:widowControl w:val="0"/>
      <w:adjustRightInd w:val="0"/>
      <w:spacing w:line="288" w:lineRule="auto"/>
      <w:ind w:left="420" w:leftChars="200"/>
      <w:jc w:val="both"/>
    </w:pPr>
    <w:rPr>
      <w:rFonts w:ascii="Calibri" w:hAnsi="Calibri" w:eastAsia="宋体" w:cs="Times New Roman"/>
      <w:kern w:val="2"/>
      <w:sz w:val="24"/>
      <w:szCs w:val="24"/>
      <w:lang w:bidi="ar-SA"/>
    </w:rPr>
  </w:style>
  <w:style w:type="paragraph" w:styleId="31">
    <w:name w:val="Body Text 2"/>
    <w:basedOn w:val="1"/>
    <w:link w:val="148"/>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List Continue 3"/>
    <w:basedOn w:val="1"/>
    <w:unhideWhenUsed/>
    <w:qFormat/>
    <w:uiPriority w:val="99"/>
    <w:pPr>
      <w:spacing w:after="120"/>
      <w:ind w:left="1080"/>
      <w:contextualSpacing/>
    </w:pPr>
  </w:style>
  <w:style w:type="paragraph" w:styleId="34">
    <w:name w:val="Title"/>
    <w:next w:val="1"/>
    <w:qFormat/>
    <w:uiPriority w:val="10"/>
    <w:pPr>
      <w:widowControl/>
      <w:spacing w:before="181" w:beforeLines="50" w:after="181" w:afterLines="50" w:line="900" w:lineRule="exact"/>
      <w:jc w:val="both"/>
      <w:outlineLvl w:val="9"/>
    </w:pPr>
    <w:rPr>
      <w:rFonts w:ascii="Times New Roman" w:hAnsi="Times New Roman" w:eastAsia="方正小标宋简体" w:cs="Times New Roman"/>
      <w:kern w:val="2"/>
      <w:sz w:val="44"/>
      <w:szCs w:val="44"/>
      <w:lang w:bidi="ar-SA"/>
    </w:rPr>
  </w:style>
  <w:style w:type="table" w:styleId="36">
    <w:name w:val="Table Grid"/>
    <w:basedOn w:val="35"/>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qFormat/>
    <w:uiPriority w:val="60"/>
    <w:pPr>
      <w:spacing w:after="0" w:line="240" w:lineRule="auto"/>
    </w:pPr>
    <w:rPr>
      <w:color w:val="2E54A1" w:themeColor="accent1" w:themeShade="BF"/>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la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left w:val="nil"/>
          <w:right w:val="nil"/>
          <w:insideH w:val="nil"/>
          <w:insideV w:val="nil"/>
        </w:tcBorders>
        <w:shd w:val="clear" w:color="auto" w:fill="D1DCF2" w:themeFill="accent1" w:themeFillTint="3F"/>
      </w:tcPr>
    </w:tblStylePr>
  </w:style>
  <w:style w:type="table" w:styleId="39">
    <w:name w:val="Light Shading Accent 2"/>
    <w:basedOn w:val="35"/>
    <w:qFormat/>
    <w:uiPriority w:val="60"/>
    <w:pPr>
      <w:spacing w:after="0" w:line="240" w:lineRule="auto"/>
    </w:pPr>
    <w:rPr>
      <w:color w:val="C65F10" w:themeColor="accent2" w:themeShade="BF"/>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la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left w:val="nil"/>
          <w:right w:val="nil"/>
          <w:insideH w:val="nil"/>
          <w:insideV w:val="nil"/>
        </w:tcBorders>
        <w:shd w:val="clear" w:color="auto" w:fill="FAE0CB" w:themeFill="accent2" w:themeFillTint="3F"/>
      </w:tcPr>
    </w:tblStylePr>
  </w:style>
  <w:style w:type="table" w:styleId="40">
    <w:name w:val="Light Shading Accent 3"/>
    <w:basedOn w:val="35"/>
    <w:qFormat/>
    <w:uiPriority w:val="60"/>
    <w:pPr>
      <w:spacing w:after="0" w:line="240" w:lineRule="auto"/>
    </w:pPr>
    <w:rPr>
      <w:color w:val="B68C02" w:themeColor="accent3" w:themeShade="BF"/>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la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left w:val="nil"/>
          <w:right w:val="nil"/>
          <w:insideH w:val="nil"/>
          <w:insideV w:val="nil"/>
        </w:tcBorders>
        <w:shd w:val="clear" w:color="auto" w:fill="FEEFBD" w:themeFill="accent3" w:themeFillTint="3F"/>
      </w:tcPr>
    </w:tblStylePr>
  </w:style>
  <w:style w:type="table" w:styleId="41">
    <w:name w:val="Light Shading Accent 4"/>
    <w:basedOn w:val="35"/>
    <w:qFormat/>
    <w:uiPriority w:val="60"/>
    <w:pPr>
      <w:spacing w:after="0" w:line="240" w:lineRule="auto"/>
    </w:pPr>
    <w:rPr>
      <w:color w:val="588E32" w:themeColor="accent4" w:themeShade="BF"/>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la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left w:val="nil"/>
          <w:right w:val="nil"/>
          <w:insideH w:val="nil"/>
          <w:insideV w:val="nil"/>
        </w:tcBorders>
        <w:shd w:val="clear" w:color="auto" w:fill="DCEED0" w:themeFill="accent4" w:themeFillTint="3F"/>
      </w:tcPr>
    </w:tblStylePr>
  </w:style>
  <w:style w:type="table" w:styleId="42">
    <w:name w:val="Light Shading Accent 5"/>
    <w:basedOn w:val="35"/>
    <w:qFormat/>
    <w:uiPriority w:val="60"/>
    <w:pPr>
      <w:spacing w:after="0" w:line="240" w:lineRule="auto"/>
    </w:pPr>
    <w:rPr>
      <w:color w:val="249087" w:themeColor="accent5" w:themeShade="BF"/>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la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left w:val="nil"/>
          <w:right w:val="nil"/>
          <w:insideH w:val="nil"/>
          <w:insideV w:val="nil"/>
        </w:tcBorders>
        <w:shd w:val="clear" w:color="auto" w:fill="C9F1EE" w:themeFill="accent5" w:themeFillTint="3F"/>
      </w:tcPr>
    </w:tblStylePr>
  </w:style>
  <w:style w:type="table" w:styleId="43">
    <w:name w:val="Light Shading Accent 6"/>
    <w:basedOn w:val="35"/>
    <w:qFormat/>
    <w:uiPriority w:val="60"/>
    <w:pPr>
      <w:spacing w:after="0" w:line="240" w:lineRule="auto"/>
    </w:pPr>
    <w:rPr>
      <w:color w:val="C81D31" w:themeColor="accent6" w:themeShade="BF"/>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la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left w:val="nil"/>
          <w:right w:val="nil"/>
          <w:insideH w:val="nil"/>
          <w:insideV w:val="nil"/>
        </w:tcBorders>
        <w:shd w:val="clear" w:color="auto" w:fill="F8D2D7" w:themeFill="accent6" w:themeFillTint="3F"/>
      </w:tcPr>
    </w:tblStylePr>
  </w:style>
  <w:style w:type="table" w:styleId="44">
    <w:name w:val="Light List"/>
    <w:basedOn w:val="35"/>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qFormat/>
    <w:uiPriority w:val="61"/>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874CB" w:themeFill="accent1"/>
      </w:tcPr>
    </w:tblStylePr>
    <w:tblStylePr w:type="lastRow">
      <w:pPr>
        <w:spacing w:before="0" w:after="0" w:line="240" w:lineRule="auto"/>
      </w:pPr>
      <w:rPr>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tcBorders>
      </w:tcPr>
    </w:tblStylePr>
    <w:tblStylePr w:type="firstCol">
      <w:rPr>
        <w:b/>
        <w:bCs/>
      </w:rPr>
    </w:tblStylePr>
    <w:tblStylePr w:type="lastCol">
      <w:rPr>
        <w:b/>
        <w:bCs/>
      </w:r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style>
  <w:style w:type="table" w:styleId="46">
    <w:name w:val="Light List Accent 2"/>
    <w:basedOn w:val="35"/>
    <w:qFormat/>
    <w:uiPriority w:val="61"/>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E822F" w:themeFill="accent2"/>
      </w:tcPr>
    </w:tblStylePr>
    <w:tblStylePr w:type="lastRow">
      <w:pPr>
        <w:spacing w:before="0" w:after="0" w:line="240" w:lineRule="auto"/>
      </w:pPr>
      <w:rPr>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tcBorders>
      </w:tcPr>
    </w:tblStylePr>
    <w:tblStylePr w:type="firstCol">
      <w:rPr>
        <w:b/>
        <w:bCs/>
      </w:rPr>
    </w:tblStylePr>
    <w:tblStylePr w:type="lastCol">
      <w:rPr>
        <w:b/>
        <w:bCs/>
      </w:r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style>
  <w:style w:type="table" w:styleId="47">
    <w:name w:val="Light List Accent 3"/>
    <w:basedOn w:val="35"/>
    <w:qFormat/>
    <w:uiPriority w:val="61"/>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2BA02" w:themeFill="accent3"/>
      </w:tcPr>
    </w:tblStylePr>
    <w:tblStylePr w:type="lastRow">
      <w:pPr>
        <w:spacing w:before="0" w:after="0" w:line="240" w:lineRule="auto"/>
      </w:pPr>
      <w:rPr>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tcBorders>
      </w:tcPr>
    </w:tblStylePr>
    <w:tblStylePr w:type="firstCol">
      <w:rPr>
        <w:b/>
        <w:bCs/>
      </w:rPr>
    </w:tblStylePr>
    <w:tblStylePr w:type="lastCol">
      <w:rPr>
        <w:b/>
        <w:bCs/>
      </w:r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style>
  <w:style w:type="table" w:styleId="48">
    <w:name w:val="Light List Accent 4"/>
    <w:basedOn w:val="35"/>
    <w:qFormat/>
    <w:uiPriority w:val="61"/>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75BD42" w:themeFill="accent4"/>
      </w:tcPr>
    </w:tblStylePr>
    <w:tblStylePr w:type="lastRow">
      <w:pPr>
        <w:spacing w:before="0" w:after="0" w:line="240" w:lineRule="auto"/>
      </w:pPr>
      <w:rPr>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tcBorders>
      </w:tcPr>
    </w:tblStylePr>
    <w:tblStylePr w:type="firstCol">
      <w:rPr>
        <w:b/>
        <w:bCs/>
      </w:rPr>
    </w:tblStylePr>
    <w:tblStylePr w:type="lastCol">
      <w:rPr>
        <w:b/>
        <w:bCs/>
      </w:r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style>
  <w:style w:type="table" w:styleId="49">
    <w:name w:val="Light List Accent 5"/>
    <w:basedOn w:val="35"/>
    <w:qFormat/>
    <w:uiPriority w:val="61"/>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30C0B4" w:themeFill="accent5"/>
      </w:tcPr>
    </w:tblStylePr>
    <w:tblStylePr w:type="lastRow">
      <w:pPr>
        <w:spacing w:before="0" w:after="0" w:line="240" w:lineRule="auto"/>
      </w:pPr>
      <w:rPr>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tcBorders>
      </w:tcPr>
    </w:tblStylePr>
    <w:tblStylePr w:type="firstCol">
      <w:rPr>
        <w:b/>
        <w:bCs/>
      </w:rPr>
    </w:tblStylePr>
    <w:tblStylePr w:type="lastCol">
      <w:rPr>
        <w:b/>
        <w:bCs/>
      </w:r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style>
  <w:style w:type="table" w:styleId="50">
    <w:name w:val="Light List Accent 6"/>
    <w:basedOn w:val="35"/>
    <w:qFormat/>
    <w:uiPriority w:val="61"/>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54C5E" w:themeFill="accent6"/>
      </w:tcPr>
    </w:tblStylePr>
    <w:tblStylePr w:type="lastRow">
      <w:pPr>
        <w:spacing w:before="0" w:after="0" w:line="240" w:lineRule="auto"/>
      </w:pPr>
      <w:rPr>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tcBorders>
      </w:tcPr>
    </w:tblStylePr>
    <w:tblStylePr w:type="firstCol">
      <w:rPr>
        <w:b/>
        <w:bCs/>
      </w:rPr>
    </w:tblStylePr>
    <w:tblStylePr w:type="lastCol">
      <w:rPr>
        <w:b/>
        <w:bCs/>
      </w:r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style>
  <w:style w:type="table" w:styleId="51">
    <w:name w:val="Light Grid"/>
    <w:basedOn w:val="35"/>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qFormat/>
    <w:uiPriority w:val="62"/>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18" w:space="0"/>
          <w:right w:val="single" w:color="4874CB"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shd w:val="clear" w:color="auto" w:fill="D1DCF2" w:themeFill="accent1" w:themeFillTint="3F"/>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shd w:val="clear" w:color="auto" w:fill="D1DCF2" w:themeFill="accent1" w:themeFillTint="3F"/>
      </w:tcPr>
    </w:tblStylePr>
    <w:tblStylePr w:type="band2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tcPr>
    </w:tblStylePr>
  </w:style>
  <w:style w:type="table" w:styleId="53">
    <w:name w:val="Light Grid Accent 2"/>
    <w:basedOn w:val="35"/>
    <w:qFormat/>
    <w:uiPriority w:val="62"/>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18" w:space="0"/>
          <w:right w:val="single" w:color="EE822F"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shd w:val="clear" w:color="auto" w:fill="FAE0CB" w:themeFill="accent2" w:themeFillTint="3F"/>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shd w:val="clear" w:color="auto" w:fill="FAE0CB" w:themeFill="accent2" w:themeFillTint="3F"/>
      </w:tcPr>
    </w:tblStylePr>
    <w:tblStylePr w:type="band2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tcPr>
    </w:tblStylePr>
  </w:style>
  <w:style w:type="table" w:styleId="54">
    <w:name w:val="Light Grid Accent 3"/>
    <w:basedOn w:val="35"/>
    <w:qFormat/>
    <w:uiPriority w:val="62"/>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18" w:space="0"/>
          <w:right w:val="single" w:color="F2BA02"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shd w:val="clear" w:color="auto" w:fill="FEEFBD" w:themeFill="accent3" w:themeFillTint="3F"/>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shd w:val="clear" w:color="auto" w:fill="FEEFBD" w:themeFill="accent3" w:themeFillTint="3F"/>
      </w:tcPr>
    </w:tblStylePr>
    <w:tblStylePr w:type="band2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tcPr>
    </w:tblStylePr>
  </w:style>
  <w:style w:type="table" w:styleId="55">
    <w:name w:val="Light Grid Accent 4"/>
    <w:basedOn w:val="35"/>
    <w:qFormat/>
    <w:uiPriority w:val="62"/>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18" w:space="0"/>
          <w:right w:val="single" w:color="75BD4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shd w:val="clear" w:color="auto" w:fill="DCEED0" w:themeFill="accent4" w:themeFillTint="3F"/>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shd w:val="clear" w:color="auto" w:fill="DCEED0" w:themeFill="accent4" w:themeFillTint="3F"/>
      </w:tcPr>
    </w:tblStylePr>
    <w:tblStylePr w:type="band2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tcPr>
    </w:tblStylePr>
  </w:style>
  <w:style w:type="table" w:styleId="56">
    <w:name w:val="Light Grid Accent 5"/>
    <w:basedOn w:val="35"/>
    <w:qFormat/>
    <w:uiPriority w:val="62"/>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18" w:space="0"/>
          <w:right w:val="single" w:color="30C0B4"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shd w:val="clear" w:color="auto" w:fill="C9F1EE" w:themeFill="accent5" w:themeFillTint="3F"/>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shd w:val="clear" w:color="auto" w:fill="C9F1EE" w:themeFill="accent5" w:themeFillTint="3F"/>
      </w:tcPr>
    </w:tblStylePr>
    <w:tblStylePr w:type="band2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tcPr>
    </w:tblStylePr>
  </w:style>
  <w:style w:type="table" w:styleId="57">
    <w:name w:val="Light Grid Accent 6"/>
    <w:basedOn w:val="35"/>
    <w:qFormat/>
    <w:uiPriority w:val="62"/>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18" w:space="0"/>
          <w:right w:val="single" w:color="E54C5E"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shd w:val="clear" w:color="auto" w:fill="F8D2D7" w:themeFill="accent6" w:themeFillTint="3F"/>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shd w:val="clear" w:color="auto" w:fill="F8D2D7" w:themeFill="accent6" w:themeFillTint="3F"/>
      </w:tcPr>
    </w:tblStylePr>
    <w:tblStylePr w:type="band2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tcPr>
    </w:tblStylePr>
  </w:style>
  <w:style w:type="table" w:styleId="58">
    <w:name w:val="Medium Shading 1"/>
    <w:basedOn w:val="35"/>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qFormat/>
    <w:uiPriority w:val="63"/>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shd w:val="clear" w:color="auto" w:fill="4874CB" w:themeFill="accent1"/>
      </w:tcPr>
    </w:tblStylePr>
    <w:tblStylePr w:type="lastRow">
      <w:pPr>
        <w:spacing w:before="0" w:after="0" w:line="240" w:lineRule="auto"/>
      </w:pPr>
      <w:rPr>
        <w:b/>
        <w:bCs/>
      </w:rPr>
      <w:tblPr/>
      <w:tcPr>
        <w:tcBorders>
          <w:top w:val="double" w:color="7596D8" w:themeColor="accent1" w:themeTint="BF" w:sz="6"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1DCF2" w:themeFill="accent1" w:themeFillTint="3F"/>
      </w:tcPr>
    </w:tblStylePr>
    <w:tblStylePr w:type="band1Horz">
      <w:tblPr/>
      <w:tcPr>
        <w:tcBorders>
          <w:insideH w:val="nil"/>
          <w:insideV w:val="nil"/>
        </w:tcBorders>
        <w:shd w:val="clear" w:color="auto" w:fill="D1DCF2" w:themeFill="accent1" w:themeFillTint="3F"/>
      </w:tcPr>
    </w:tblStylePr>
    <w:tblStylePr w:type="band2Horz">
      <w:tblPr/>
      <w:tcPr>
        <w:tcBorders>
          <w:insideH w:val="nil"/>
          <w:insideV w:val="nil"/>
        </w:tcBorders>
      </w:tcPr>
    </w:tblStylePr>
  </w:style>
  <w:style w:type="table" w:styleId="60">
    <w:name w:val="Medium Shading 1 Accent 2"/>
    <w:basedOn w:val="35"/>
    <w:qFormat/>
    <w:uiPriority w:val="63"/>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shd w:val="clear" w:color="auto" w:fill="EE822F" w:themeFill="accent2"/>
      </w:tcPr>
    </w:tblStylePr>
    <w:tblStylePr w:type="lastRow">
      <w:pPr>
        <w:spacing w:before="0" w:after="0" w:line="240" w:lineRule="auto"/>
      </w:pPr>
      <w:rPr>
        <w:b/>
        <w:bCs/>
      </w:rPr>
      <w:tblPr/>
      <w:tcPr>
        <w:tcBorders>
          <w:top w:val="double" w:color="F2A163" w:themeColor="accent2" w:themeTint="BF" w:sz="6"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AE0CB" w:themeFill="accent2" w:themeFillTint="3F"/>
      </w:tcPr>
    </w:tblStylePr>
    <w:tblStylePr w:type="band1Horz">
      <w:tblPr/>
      <w:tcPr>
        <w:tcBorders>
          <w:insideH w:val="nil"/>
          <w:insideV w:val="nil"/>
        </w:tcBorders>
        <w:shd w:val="clear" w:color="auto" w:fill="FAE0CB" w:themeFill="accent2" w:themeFillTint="3F"/>
      </w:tcPr>
    </w:tblStylePr>
    <w:tblStylePr w:type="band2Horz">
      <w:tblPr/>
      <w:tcPr>
        <w:tcBorders>
          <w:insideH w:val="nil"/>
          <w:insideV w:val="nil"/>
        </w:tcBorders>
      </w:tcPr>
    </w:tblStylePr>
  </w:style>
  <w:style w:type="table" w:styleId="61">
    <w:name w:val="Medium Shading 1 Accent 3"/>
    <w:basedOn w:val="35"/>
    <w:qFormat/>
    <w:uiPriority w:val="63"/>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shd w:val="clear" w:color="auto" w:fill="F2BA02" w:themeFill="accent3"/>
      </w:tcPr>
    </w:tblStylePr>
    <w:tblStylePr w:type="lastRow">
      <w:pPr>
        <w:spacing w:before="0" w:after="0" w:line="240" w:lineRule="auto"/>
      </w:pPr>
      <w:rPr>
        <w:b/>
        <w:bCs/>
      </w:rPr>
      <w:tblPr/>
      <w:tcPr>
        <w:tcBorders>
          <w:top w:val="double" w:color="FDCF39" w:themeColor="accent3" w:themeTint="BF" w:sz="6"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EEFBD" w:themeFill="accent3" w:themeFillTint="3F"/>
      </w:tcPr>
    </w:tblStylePr>
    <w:tblStylePr w:type="band1Horz">
      <w:tblPr/>
      <w:tcPr>
        <w:tcBorders>
          <w:insideH w:val="nil"/>
          <w:insideV w:val="nil"/>
        </w:tcBorders>
        <w:shd w:val="clear" w:color="auto" w:fill="FEEFBD" w:themeFill="accent3" w:themeFillTint="3F"/>
      </w:tcPr>
    </w:tblStylePr>
    <w:tblStylePr w:type="band2Horz">
      <w:tblPr/>
      <w:tcPr>
        <w:tcBorders>
          <w:insideH w:val="nil"/>
          <w:insideV w:val="nil"/>
        </w:tcBorders>
      </w:tcPr>
    </w:tblStylePr>
  </w:style>
  <w:style w:type="table" w:styleId="62">
    <w:name w:val="Medium Shading 1 Accent 4"/>
    <w:basedOn w:val="35"/>
    <w:qFormat/>
    <w:uiPriority w:val="63"/>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shd w:val="clear" w:color="auto" w:fill="75BD42" w:themeFill="accent4"/>
      </w:tcPr>
    </w:tblStylePr>
    <w:tblStylePr w:type="lastRow">
      <w:pPr>
        <w:spacing w:before="0" w:after="0" w:line="240" w:lineRule="auto"/>
      </w:pPr>
      <w:rPr>
        <w:b/>
        <w:bCs/>
      </w:rPr>
      <w:tblPr/>
      <w:tcPr>
        <w:tcBorders>
          <w:top w:val="double" w:color="97CD71" w:themeColor="accent4" w:themeTint="BF" w:sz="6"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CEED0" w:themeFill="accent4" w:themeFillTint="3F"/>
      </w:tcPr>
    </w:tblStylePr>
    <w:tblStylePr w:type="band1Horz">
      <w:tblPr/>
      <w:tcPr>
        <w:tcBorders>
          <w:insideH w:val="nil"/>
          <w:insideV w:val="nil"/>
        </w:tcBorders>
        <w:shd w:val="clear" w:color="auto" w:fill="DCEED0" w:themeFill="accent4" w:themeFillTint="3F"/>
      </w:tcPr>
    </w:tblStylePr>
    <w:tblStylePr w:type="band2Horz">
      <w:tblPr/>
      <w:tcPr>
        <w:tcBorders>
          <w:insideH w:val="nil"/>
          <w:insideV w:val="nil"/>
        </w:tcBorders>
      </w:tcPr>
    </w:tblStylePr>
  </w:style>
  <w:style w:type="table" w:styleId="63">
    <w:name w:val="Medium Shading 1 Accent 5"/>
    <w:basedOn w:val="35"/>
    <w:qFormat/>
    <w:uiPriority w:val="63"/>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shd w:val="clear" w:color="auto" w:fill="30C0B4" w:themeFill="accent5"/>
      </w:tcPr>
    </w:tblStylePr>
    <w:tblStylePr w:type="lastRow">
      <w:pPr>
        <w:spacing w:before="0" w:after="0" w:line="240" w:lineRule="auto"/>
      </w:pPr>
      <w:rPr>
        <w:b/>
        <w:bCs/>
      </w:rPr>
      <w:tblPr/>
      <w:tcPr>
        <w:tcBorders>
          <w:top w:val="double" w:color="5DD6CC" w:themeColor="accent5" w:themeTint="BF" w:sz="6"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C9F1EE" w:themeFill="accent5" w:themeFillTint="3F"/>
      </w:tcPr>
    </w:tblStylePr>
    <w:tblStylePr w:type="band1Horz">
      <w:tblPr/>
      <w:tcPr>
        <w:tcBorders>
          <w:insideH w:val="nil"/>
          <w:insideV w:val="nil"/>
        </w:tcBorders>
        <w:shd w:val="clear" w:color="auto" w:fill="C9F1EE" w:themeFill="accent5" w:themeFillTint="3F"/>
      </w:tcPr>
    </w:tblStylePr>
    <w:tblStylePr w:type="band2Horz">
      <w:tblPr/>
      <w:tcPr>
        <w:tcBorders>
          <w:insideH w:val="nil"/>
          <w:insideV w:val="nil"/>
        </w:tcBorders>
      </w:tcPr>
    </w:tblStylePr>
  </w:style>
  <w:style w:type="table" w:styleId="64">
    <w:name w:val="Medium Shading 1 Accent 6"/>
    <w:basedOn w:val="35"/>
    <w:qFormat/>
    <w:uiPriority w:val="63"/>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shd w:val="clear" w:color="auto" w:fill="E54C5E" w:themeFill="accent6"/>
      </w:tcPr>
    </w:tblStylePr>
    <w:tblStylePr w:type="lastRow">
      <w:pPr>
        <w:spacing w:before="0" w:after="0" w:line="240" w:lineRule="auto"/>
      </w:pPr>
      <w:rPr>
        <w:b/>
        <w:bCs/>
      </w:rPr>
      <w:tblPr/>
      <w:tcPr>
        <w:tcBorders>
          <w:top w:val="double" w:color="EB7886" w:themeColor="accent6" w:themeTint="BF" w:sz="6"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8D2D7" w:themeFill="accent6" w:themeFillTint="3F"/>
      </w:tcPr>
    </w:tblStylePr>
    <w:tblStylePr w:type="band1Horz">
      <w:tblPr/>
      <w:tcPr>
        <w:tcBorders>
          <w:insideH w:val="nil"/>
          <w:insideV w:val="nil"/>
        </w:tcBorders>
        <w:shd w:val="clear" w:color="auto" w:fill="F8D2D7" w:themeFill="accent6" w:themeFillTint="3F"/>
      </w:tcPr>
    </w:tblStylePr>
    <w:tblStylePr w:type="band2Horz">
      <w:tblPr/>
      <w:tcPr>
        <w:tcBorders>
          <w:insideH w:val="nil"/>
          <w:insideV w:val="nil"/>
        </w:tcBorders>
      </w:tcPr>
    </w:tblStylePr>
  </w:style>
  <w:style w:type="table" w:styleId="65">
    <w:name w:val="Medium Shading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874CB"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874CB"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874CB"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E822F"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E822F"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E822F"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2BA02"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2BA02"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2BA02"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5BD4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75BD4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5BD4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30C0B4"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30C0B4"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30C0B4"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54C5E"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54C5E"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54C5E"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qFormat/>
    <w:uiPriority w:val="65"/>
    <w:pPr>
      <w:spacing w:after="0" w:line="240" w:lineRule="auto"/>
    </w:pPr>
    <w:rPr>
      <w:color w:val="000000" w:themeColor="text1"/>
      <w14:textFill>
        <w14:solidFill>
          <w14:schemeClr w14:val="tx1"/>
        </w14:solidFill>
      </w14:textFill>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874CB" w:themeColor="accent1" w:sz="8" w:space="0"/>
        </w:tcBorders>
      </w:tcPr>
    </w:tblStylePr>
    <w:tblStylePr w:type="lastRow">
      <w:rPr>
        <w:b/>
        <w:bCs/>
        <w:color w:val="44546A" w:themeColor="text2"/>
        <w14:textFill>
          <w14:solidFill>
            <w14:schemeClr w14:val="tx2"/>
          </w14:solidFill>
        </w14:textFill>
      </w:rPr>
      <w:tblPr/>
      <w:tcPr>
        <w:tcBorders>
          <w:top w:val="single" w:color="4874CB" w:themeColor="accent1" w:sz="8" w:space="0"/>
          <w:bottom w:val="single" w:color="4874CB" w:themeColor="accent1" w:sz="8" w:space="0"/>
        </w:tcBorders>
      </w:tcPr>
    </w:tblStylePr>
    <w:tblStylePr w:type="firstCol">
      <w:rPr>
        <w:b/>
        <w:bCs/>
      </w:rPr>
    </w:tblStylePr>
    <w:tblStylePr w:type="lastCol">
      <w:rPr>
        <w:b/>
        <w:bCs/>
      </w:rPr>
      <w:tblPr/>
      <w:tcPr>
        <w:tcBorders>
          <w:top w:val="single" w:color="4874CB" w:themeColor="accent1" w:sz="8" w:space="0"/>
          <w:bottom w:val="single" w:color="4874CB" w:themeColor="accent1" w:sz="8" w:space="0"/>
        </w:tcBorders>
      </w:tcPr>
    </w:tblStylePr>
    <w:tblStylePr w:type="band1Vert">
      <w:tblPr/>
      <w:tcPr>
        <w:shd w:val="clear" w:color="auto" w:fill="D1DCF2" w:themeFill="accent1" w:themeFillTint="3F"/>
      </w:tcPr>
    </w:tblStylePr>
    <w:tblStylePr w:type="band1Horz">
      <w:tblPr/>
      <w:tcPr>
        <w:shd w:val="clear" w:color="auto" w:fill="D1DCF2" w:themeFill="accent1" w:themeFillTint="3F"/>
      </w:tcPr>
    </w:tblStylePr>
  </w:style>
  <w:style w:type="table" w:styleId="74">
    <w:name w:val="Medium List 1 Accent 2"/>
    <w:basedOn w:val="35"/>
    <w:qFormat/>
    <w:uiPriority w:val="65"/>
    <w:pPr>
      <w:spacing w:after="0" w:line="240" w:lineRule="auto"/>
    </w:pPr>
    <w:rPr>
      <w:color w:val="000000" w:themeColor="text1"/>
      <w14:textFill>
        <w14:solidFill>
          <w14:schemeClr w14:val="tx1"/>
        </w14:solidFill>
      </w14:textFill>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E822F" w:themeColor="accent2" w:sz="8" w:space="0"/>
        </w:tcBorders>
      </w:tcPr>
    </w:tblStylePr>
    <w:tblStylePr w:type="lastRow">
      <w:rPr>
        <w:b/>
        <w:bCs/>
        <w:color w:val="44546A" w:themeColor="text2"/>
        <w14:textFill>
          <w14:solidFill>
            <w14:schemeClr w14:val="tx2"/>
          </w14:solidFill>
        </w14:textFill>
      </w:rPr>
      <w:tblPr/>
      <w:tcPr>
        <w:tcBorders>
          <w:top w:val="single" w:color="EE822F" w:themeColor="accent2" w:sz="8" w:space="0"/>
          <w:bottom w:val="single" w:color="EE822F" w:themeColor="accent2" w:sz="8" w:space="0"/>
        </w:tcBorders>
      </w:tcPr>
    </w:tblStylePr>
    <w:tblStylePr w:type="firstCol">
      <w:rPr>
        <w:b/>
        <w:bCs/>
      </w:rPr>
    </w:tblStylePr>
    <w:tblStylePr w:type="lastCol">
      <w:rPr>
        <w:b/>
        <w:bCs/>
      </w:rPr>
      <w:tblPr/>
      <w:tcPr>
        <w:tcBorders>
          <w:top w:val="single" w:color="EE822F" w:themeColor="accent2" w:sz="8" w:space="0"/>
          <w:bottom w:val="single" w:color="EE822F" w:themeColor="accent2" w:sz="8" w:space="0"/>
        </w:tcBorders>
      </w:tcPr>
    </w:tblStylePr>
    <w:tblStylePr w:type="band1Vert">
      <w:tblPr/>
      <w:tcPr>
        <w:shd w:val="clear" w:color="auto" w:fill="FAE0CB" w:themeFill="accent2" w:themeFillTint="3F"/>
      </w:tcPr>
    </w:tblStylePr>
    <w:tblStylePr w:type="band1Horz">
      <w:tblPr/>
      <w:tcPr>
        <w:shd w:val="clear" w:color="auto" w:fill="FAE0CB" w:themeFill="accent2" w:themeFillTint="3F"/>
      </w:tcPr>
    </w:tblStylePr>
  </w:style>
  <w:style w:type="table" w:styleId="75">
    <w:name w:val="Medium List 1 Accent 3"/>
    <w:basedOn w:val="35"/>
    <w:qFormat/>
    <w:uiPriority w:val="65"/>
    <w:pPr>
      <w:spacing w:after="0" w:line="240" w:lineRule="auto"/>
    </w:pPr>
    <w:rPr>
      <w:color w:val="000000" w:themeColor="text1"/>
      <w14:textFill>
        <w14:solidFill>
          <w14:schemeClr w14:val="tx1"/>
        </w14:solidFill>
      </w14:textFill>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2BA02" w:themeColor="accent3" w:sz="8" w:space="0"/>
        </w:tcBorders>
      </w:tcPr>
    </w:tblStylePr>
    <w:tblStylePr w:type="lastRow">
      <w:rPr>
        <w:b/>
        <w:bCs/>
        <w:color w:val="44546A" w:themeColor="text2"/>
        <w14:textFill>
          <w14:solidFill>
            <w14:schemeClr w14:val="tx2"/>
          </w14:solidFill>
        </w14:textFill>
      </w:rPr>
      <w:tblPr/>
      <w:tcPr>
        <w:tcBorders>
          <w:top w:val="single" w:color="F2BA02" w:themeColor="accent3" w:sz="8" w:space="0"/>
          <w:bottom w:val="single" w:color="F2BA02" w:themeColor="accent3" w:sz="8" w:space="0"/>
        </w:tcBorders>
      </w:tcPr>
    </w:tblStylePr>
    <w:tblStylePr w:type="firstCol">
      <w:rPr>
        <w:b/>
        <w:bCs/>
      </w:rPr>
    </w:tblStylePr>
    <w:tblStylePr w:type="lastCol">
      <w:rPr>
        <w:b/>
        <w:bCs/>
      </w:rPr>
      <w:tblPr/>
      <w:tcPr>
        <w:tcBorders>
          <w:top w:val="single" w:color="F2BA02" w:themeColor="accent3" w:sz="8" w:space="0"/>
          <w:bottom w:val="single" w:color="F2BA02" w:themeColor="accent3" w:sz="8" w:space="0"/>
        </w:tcBorders>
      </w:tcPr>
    </w:tblStylePr>
    <w:tblStylePr w:type="band1Vert">
      <w:tblPr/>
      <w:tcPr>
        <w:shd w:val="clear" w:color="auto" w:fill="FEEFBD" w:themeFill="accent3" w:themeFillTint="3F"/>
      </w:tcPr>
    </w:tblStylePr>
    <w:tblStylePr w:type="band1Horz">
      <w:tblPr/>
      <w:tcPr>
        <w:shd w:val="clear" w:color="auto" w:fill="FEEFBD" w:themeFill="accent3" w:themeFillTint="3F"/>
      </w:tcPr>
    </w:tblStylePr>
  </w:style>
  <w:style w:type="table" w:styleId="76">
    <w:name w:val="Medium List 1 Accent 4"/>
    <w:basedOn w:val="35"/>
    <w:qFormat/>
    <w:uiPriority w:val="65"/>
    <w:pPr>
      <w:spacing w:after="0" w:line="240" w:lineRule="auto"/>
    </w:pPr>
    <w:rPr>
      <w:color w:val="000000" w:themeColor="text1"/>
      <w14:textFill>
        <w14:solidFill>
          <w14:schemeClr w14:val="tx1"/>
        </w14:solidFill>
      </w14:textFill>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75BD42" w:themeColor="accent4" w:sz="8" w:space="0"/>
        </w:tcBorders>
      </w:tcPr>
    </w:tblStylePr>
    <w:tblStylePr w:type="lastRow">
      <w:rPr>
        <w:b/>
        <w:bCs/>
        <w:color w:val="44546A" w:themeColor="text2"/>
        <w14:textFill>
          <w14:solidFill>
            <w14:schemeClr w14:val="tx2"/>
          </w14:solidFill>
        </w14:textFill>
      </w:rPr>
      <w:tblPr/>
      <w:tcPr>
        <w:tcBorders>
          <w:top w:val="single" w:color="75BD42" w:themeColor="accent4" w:sz="8" w:space="0"/>
          <w:bottom w:val="single" w:color="75BD42" w:themeColor="accent4" w:sz="8" w:space="0"/>
        </w:tcBorders>
      </w:tcPr>
    </w:tblStylePr>
    <w:tblStylePr w:type="firstCol">
      <w:rPr>
        <w:b/>
        <w:bCs/>
      </w:rPr>
    </w:tblStylePr>
    <w:tblStylePr w:type="lastCol">
      <w:rPr>
        <w:b/>
        <w:bCs/>
      </w:rPr>
      <w:tblPr/>
      <w:tcPr>
        <w:tcBorders>
          <w:top w:val="single" w:color="75BD42" w:themeColor="accent4" w:sz="8" w:space="0"/>
          <w:bottom w:val="single" w:color="75BD42" w:themeColor="accent4" w:sz="8" w:space="0"/>
        </w:tcBorders>
      </w:tcPr>
    </w:tblStylePr>
    <w:tblStylePr w:type="band1Vert">
      <w:tblPr/>
      <w:tcPr>
        <w:shd w:val="clear" w:color="auto" w:fill="DCEED0" w:themeFill="accent4" w:themeFillTint="3F"/>
      </w:tcPr>
    </w:tblStylePr>
    <w:tblStylePr w:type="band1Horz">
      <w:tblPr/>
      <w:tcPr>
        <w:shd w:val="clear" w:color="auto" w:fill="DCEED0" w:themeFill="accent4" w:themeFillTint="3F"/>
      </w:tcPr>
    </w:tblStylePr>
  </w:style>
  <w:style w:type="table" w:styleId="77">
    <w:name w:val="Medium List 1 Accent 5"/>
    <w:basedOn w:val="35"/>
    <w:qFormat/>
    <w:uiPriority w:val="65"/>
    <w:pPr>
      <w:spacing w:after="0" w:line="240" w:lineRule="auto"/>
    </w:pPr>
    <w:rPr>
      <w:color w:val="000000" w:themeColor="text1"/>
      <w14:textFill>
        <w14:solidFill>
          <w14:schemeClr w14:val="tx1"/>
        </w14:solidFill>
      </w14:textFill>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30C0B4" w:themeColor="accent5" w:sz="8" w:space="0"/>
        </w:tcBorders>
      </w:tcPr>
    </w:tblStylePr>
    <w:tblStylePr w:type="lastRow">
      <w:rPr>
        <w:b/>
        <w:bCs/>
        <w:color w:val="44546A" w:themeColor="text2"/>
        <w14:textFill>
          <w14:solidFill>
            <w14:schemeClr w14:val="tx2"/>
          </w14:solidFill>
        </w14:textFill>
      </w:rPr>
      <w:tblPr/>
      <w:tcPr>
        <w:tcBorders>
          <w:top w:val="single" w:color="30C0B4" w:themeColor="accent5" w:sz="8" w:space="0"/>
          <w:bottom w:val="single" w:color="30C0B4" w:themeColor="accent5" w:sz="8" w:space="0"/>
        </w:tcBorders>
      </w:tcPr>
    </w:tblStylePr>
    <w:tblStylePr w:type="firstCol">
      <w:rPr>
        <w:b/>
        <w:bCs/>
      </w:rPr>
    </w:tblStylePr>
    <w:tblStylePr w:type="lastCol">
      <w:rPr>
        <w:b/>
        <w:bCs/>
      </w:rPr>
      <w:tblPr/>
      <w:tcPr>
        <w:tcBorders>
          <w:top w:val="single" w:color="30C0B4" w:themeColor="accent5" w:sz="8" w:space="0"/>
          <w:bottom w:val="single" w:color="30C0B4" w:themeColor="accent5" w:sz="8" w:space="0"/>
        </w:tcBorders>
      </w:tcPr>
    </w:tblStylePr>
    <w:tblStylePr w:type="band1Vert">
      <w:tblPr/>
      <w:tcPr>
        <w:shd w:val="clear" w:color="auto" w:fill="C9F1EE" w:themeFill="accent5" w:themeFillTint="3F"/>
      </w:tcPr>
    </w:tblStylePr>
    <w:tblStylePr w:type="band1Horz">
      <w:tblPr/>
      <w:tcPr>
        <w:shd w:val="clear" w:color="auto" w:fill="C9F1EE" w:themeFill="accent5" w:themeFillTint="3F"/>
      </w:tcPr>
    </w:tblStylePr>
  </w:style>
  <w:style w:type="table" w:styleId="78">
    <w:name w:val="Medium List 1 Accent 6"/>
    <w:basedOn w:val="35"/>
    <w:qFormat/>
    <w:uiPriority w:val="65"/>
    <w:pPr>
      <w:spacing w:after="0" w:line="240" w:lineRule="auto"/>
    </w:pPr>
    <w:rPr>
      <w:color w:val="000000" w:themeColor="text1"/>
      <w14:textFill>
        <w14:solidFill>
          <w14:schemeClr w14:val="tx1"/>
        </w14:solidFill>
      </w14:textFill>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54C5E" w:themeColor="accent6" w:sz="8" w:space="0"/>
        </w:tcBorders>
      </w:tcPr>
    </w:tblStylePr>
    <w:tblStylePr w:type="lastRow">
      <w:rPr>
        <w:b/>
        <w:bCs/>
        <w:color w:val="44546A" w:themeColor="text2"/>
        <w14:textFill>
          <w14:solidFill>
            <w14:schemeClr w14:val="tx2"/>
          </w14:solidFill>
        </w14:textFill>
      </w:rPr>
      <w:tblPr/>
      <w:tcPr>
        <w:tcBorders>
          <w:top w:val="single" w:color="E54C5E" w:themeColor="accent6" w:sz="8" w:space="0"/>
          <w:bottom w:val="single" w:color="E54C5E" w:themeColor="accent6" w:sz="8" w:space="0"/>
        </w:tcBorders>
      </w:tcPr>
    </w:tblStylePr>
    <w:tblStylePr w:type="firstCol">
      <w:rPr>
        <w:b/>
        <w:bCs/>
      </w:rPr>
    </w:tblStylePr>
    <w:tblStylePr w:type="lastCol">
      <w:rPr>
        <w:b/>
        <w:bCs/>
      </w:rPr>
      <w:tblPr/>
      <w:tcPr>
        <w:tcBorders>
          <w:top w:val="single" w:color="E54C5E" w:themeColor="accent6" w:sz="8" w:space="0"/>
          <w:bottom w:val="single" w:color="E54C5E" w:themeColor="accent6" w:sz="8" w:space="0"/>
        </w:tcBorders>
      </w:tcPr>
    </w:tblStylePr>
    <w:tblStylePr w:type="band1Vert">
      <w:tblPr/>
      <w:tcPr>
        <w:shd w:val="clear" w:color="auto" w:fill="F8D2D7" w:themeFill="accent6" w:themeFillTint="3F"/>
      </w:tcPr>
    </w:tblStylePr>
    <w:tblStylePr w:type="band1Horz">
      <w:tblPr/>
      <w:tcPr>
        <w:shd w:val="clear" w:color="auto" w:fill="F8D2D7" w:themeFill="accent6" w:themeFillTint="3F"/>
      </w:tcPr>
    </w:tblStylePr>
  </w:style>
  <w:style w:type="table" w:styleId="79">
    <w:name w:val="Medium Lis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874CB" w:themeColor="accent1" w:sz="24" w:space="0"/>
          <w:right w:val="nil"/>
          <w:insideH w:val="nil"/>
          <w:insideV w:val="nil"/>
        </w:tcBorders>
        <w:shd w:val="clear" w:color="auto" w:fill="FFFFFF" w:themeFill="background1"/>
      </w:tcPr>
    </w:tblStylePr>
    <w:tblStylePr w:type="lastRow">
      <w:tblPr/>
      <w:tcPr>
        <w:tcBorders>
          <w:top w:val="single" w:color="4874CB"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874CB" w:themeColor="accent1" w:sz="8" w:space="0"/>
          <w:insideH w:val="nil"/>
          <w:insideV w:val="nil"/>
        </w:tcBorders>
        <w:shd w:val="clear" w:color="auto" w:fill="FFFFFF" w:themeFill="background1"/>
      </w:tcPr>
    </w:tblStylePr>
    <w:tblStylePr w:type="lastCol">
      <w:tblPr/>
      <w:tcPr>
        <w:tcBorders>
          <w:top w:val="nil"/>
          <w:left w:val="single" w:color="4874CB"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top w:val="nil"/>
          <w:bottom w:val="nil"/>
          <w:insideH w:val="nil"/>
          <w:insideV w:val="nil"/>
        </w:tcBorders>
        <w:shd w:val="clear" w:color="auto" w:fill="D1DC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tblPr/>
      <w:tcPr>
        <w:tcBorders>
          <w:top w:val="single" w:color="EE822F"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E822F" w:themeColor="accent2" w:sz="8" w:space="0"/>
          <w:insideH w:val="nil"/>
          <w:insideV w:val="nil"/>
        </w:tcBorders>
        <w:shd w:val="clear" w:color="auto" w:fill="FFFFFF" w:themeFill="background1"/>
      </w:tcPr>
    </w:tblStylePr>
    <w:tblStylePr w:type="lastCol">
      <w:tblPr/>
      <w:tcPr>
        <w:tcBorders>
          <w:top w:val="nil"/>
          <w:left w:val="single" w:color="EE822F"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top w:val="nil"/>
          <w:bottom w:val="nil"/>
          <w:insideH w:val="nil"/>
          <w:insideV w:val="nil"/>
        </w:tcBorders>
        <w:shd w:val="clear" w:color="auto" w:fill="FAE0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tblPr/>
      <w:tcPr>
        <w:tcBorders>
          <w:top w:val="single" w:color="F2BA02"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2BA02" w:themeColor="accent3" w:sz="8" w:space="0"/>
          <w:insideH w:val="nil"/>
          <w:insideV w:val="nil"/>
        </w:tcBorders>
        <w:shd w:val="clear" w:color="auto" w:fill="FFFFFF" w:themeFill="background1"/>
      </w:tcPr>
    </w:tblStylePr>
    <w:tblStylePr w:type="lastCol">
      <w:tblPr/>
      <w:tcPr>
        <w:tcBorders>
          <w:top w:val="nil"/>
          <w:left w:val="single" w:color="F2BA02"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top w:val="nil"/>
          <w:bottom w:val="nil"/>
          <w:insideH w:val="nil"/>
          <w:insideV w:val="nil"/>
        </w:tcBorders>
        <w:shd w:val="clear" w:color="auto" w:fill="FEEF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tblPr/>
      <w:tcPr>
        <w:tcBorders>
          <w:top w:val="single" w:color="75BD4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5BD42" w:themeColor="accent4" w:sz="8" w:space="0"/>
          <w:insideH w:val="nil"/>
          <w:insideV w:val="nil"/>
        </w:tcBorders>
        <w:shd w:val="clear" w:color="auto" w:fill="FFFFFF" w:themeFill="background1"/>
      </w:tcPr>
    </w:tblStylePr>
    <w:tblStylePr w:type="lastCol">
      <w:tblPr/>
      <w:tcPr>
        <w:tcBorders>
          <w:top w:val="nil"/>
          <w:left w:val="single" w:color="75BD4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top w:val="nil"/>
          <w:bottom w:val="nil"/>
          <w:insideH w:val="nil"/>
          <w:insideV w:val="nil"/>
        </w:tcBorders>
        <w:shd w:val="clear" w:color="auto" w:fill="DCEED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tblPr/>
      <w:tcPr>
        <w:tcBorders>
          <w:top w:val="single" w:color="30C0B4"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30C0B4" w:themeColor="accent5" w:sz="8" w:space="0"/>
          <w:insideH w:val="nil"/>
          <w:insideV w:val="nil"/>
        </w:tcBorders>
        <w:shd w:val="clear" w:color="auto" w:fill="FFFFFF" w:themeFill="background1"/>
      </w:tcPr>
    </w:tblStylePr>
    <w:tblStylePr w:type="lastCol">
      <w:tblPr/>
      <w:tcPr>
        <w:tcBorders>
          <w:top w:val="nil"/>
          <w:left w:val="single" w:color="30C0B4"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top w:val="nil"/>
          <w:bottom w:val="nil"/>
          <w:insideH w:val="nil"/>
          <w:insideV w:val="nil"/>
        </w:tcBorders>
        <w:shd w:val="clear" w:color="auto" w:fill="C9F1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tblPr/>
      <w:tcPr>
        <w:tcBorders>
          <w:top w:val="single" w:color="E54C5E"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54C5E" w:themeColor="accent6" w:sz="8" w:space="0"/>
          <w:insideH w:val="nil"/>
          <w:insideV w:val="nil"/>
        </w:tcBorders>
        <w:shd w:val="clear" w:color="auto" w:fill="FFFFFF" w:themeFill="background1"/>
      </w:tcPr>
    </w:tblStylePr>
    <w:tblStylePr w:type="lastCol">
      <w:tblPr/>
      <w:tcPr>
        <w:tcBorders>
          <w:top w:val="nil"/>
          <w:left w:val="single" w:color="E54C5E"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top w:val="nil"/>
          <w:bottom w:val="nil"/>
          <w:insideH w:val="nil"/>
          <w:insideV w:val="nil"/>
        </w:tcBorders>
        <w:shd w:val="clear" w:color="auto" w:fill="F8D2D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qFormat/>
    <w:uiPriority w:val="67"/>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insideV w:val="single" w:color="7596D8" w:themeColor="accent1" w:themeTint="BF" w:sz="8" w:space="0"/>
      </w:tblBorders>
      <w:tblCellMar>
        <w:top w:w="0" w:type="dxa"/>
        <w:left w:w="108" w:type="dxa"/>
        <w:bottom w:w="0" w:type="dxa"/>
        <w:right w:w="108" w:type="dxa"/>
      </w:tblCellMar>
    </w:tblPr>
    <w:tcPr>
      <w:shd w:val="clear" w:color="auto" w:fill="D1DCF2" w:themeFill="accent1" w:themeFillTint="3F"/>
    </w:tcPr>
    <w:tblStylePr w:type="firstRow">
      <w:rPr>
        <w:b/>
        <w:bCs/>
      </w:rPr>
    </w:tblStylePr>
    <w:tblStylePr w:type="lastRow">
      <w:rPr>
        <w:b/>
        <w:bCs/>
      </w:rPr>
      <w:tblPr/>
      <w:tcPr>
        <w:tcBorders>
          <w:top w:val="single" w:color="7596D8" w:themeColor="accent1" w:themeTint="BF" w:sz="18" w:space="0"/>
        </w:tcBorders>
      </w:tcPr>
    </w:tblStylePr>
    <w:tblStylePr w:type="firstCol">
      <w:rPr>
        <w:b/>
        <w:bCs/>
      </w:rPr>
    </w:tblStylePr>
    <w:tblStylePr w:type="lastCol">
      <w:rPr>
        <w:b/>
        <w:bCs/>
      </w:r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88">
    <w:name w:val="Medium Grid 1 Accent 2"/>
    <w:basedOn w:val="35"/>
    <w:qFormat/>
    <w:uiPriority w:val="67"/>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insideV w:val="single" w:color="F2A163" w:themeColor="accent2" w:themeTint="BF" w:sz="8" w:space="0"/>
      </w:tblBorders>
      <w:tblCellMar>
        <w:top w:w="0" w:type="dxa"/>
        <w:left w:w="108" w:type="dxa"/>
        <w:bottom w:w="0" w:type="dxa"/>
        <w:right w:w="108" w:type="dxa"/>
      </w:tblCellMar>
    </w:tblPr>
    <w:tcPr>
      <w:shd w:val="clear" w:color="auto" w:fill="FAE0CB" w:themeFill="accent2" w:themeFillTint="3F"/>
    </w:tcPr>
    <w:tblStylePr w:type="firstRow">
      <w:rPr>
        <w:b/>
        <w:bCs/>
      </w:rPr>
    </w:tblStylePr>
    <w:tblStylePr w:type="lastRow">
      <w:rPr>
        <w:b/>
        <w:bCs/>
      </w:rPr>
      <w:tblPr/>
      <w:tcPr>
        <w:tcBorders>
          <w:top w:val="single" w:color="F2A163" w:themeColor="accent2" w:themeTint="BF" w:sz="18" w:space="0"/>
        </w:tcBorders>
      </w:tcPr>
    </w:tblStylePr>
    <w:tblStylePr w:type="firstCol">
      <w:rPr>
        <w:b/>
        <w:bCs/>
      </w:rPr>
    </w:tblStylePr>
    <w:tblStylePr w:type="lastCol">
      <w:rPr>
        <w:b/>
        <w:bCs/>
      </w:r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89">
    <w:name w:val="Medium Grid 1 Accent 3"/>
    <w:basedOn w:val="35"/>
    <w:qFormat/>
    <w:uiPriority w:val="67"/>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insideV w:val="single" w:color="FDCF39" w:themeColor="accent3" w:themeTint="BF" w:sz="8" w:space="0"/>
      </w:tblBorders>
      <w:tblCellMar>
        <w:top w:w="0" w:type="dxa"/>
        <w:left w:w="108" w:type="dxa"/>
        <w:bottom w:w="0" w:type="dxa"/>
        <w:right w:w="108" w:type="dxa"/>
      </w:tblCellMar>
    </w:tblPr>
    <w:tcPr>
      <w:shd w:val="clear" w:color="auto" w:fill="FEEFBD" w:themeFill="accent3" w:themeFillTint="3F"/>
    </w:tcPr>
    <w:tblStylePr w:type="firstRow">
      <w:rPr>
        <w:b/>
        <w:bCs/>
      </w:rPr>
    </w:tblStylePr>
    <w:tblStylePr w:type="lastRow">
      <w:rPr>
        <w:b/>
        <w:bCs/>
      </w:rPr>
      <w:tblPr/>
      <w:tcPr>
        <w:tcBorders>
          <w:top w:val="single" w:color="FDCF39" w:themeColor="accent3" w:themeTint="BF" w:sz="18" w:space="0"/>
        </w:tcBorders>
      </w:tcPr>
    </w:tblStylePr>
    <w:tblStylePr w:type="firstCol">
      <w:rPr>
        <w:b/>
        <w:bCs/>
      </w:rPr>
    </w:tblStylePr>
    <w:tblStylePr w:type="lastCol">
      <w:rPr>
        <w:b/>
        <w:bCs/>
      </w:r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90">
    <w:name w:val="Medium Grid 1 Accent 4"/>
    <w:basedOn w:val="35"/>
    <w:qFormat/>
    <w:uiPriority w:val="67"/>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insideV w:val="single" w:color="97CD71" w:themeColor="accent4" w:themeTint="BF" w:sz="8" w:space="0"/>
      </w:tblBorders>
      <w:tblCellMar>
        <w:top w:w="0" w:type="dxa"/>
        <w:left w:w="108" w:type="dxa"/>
        <w:bottom w:w="0" w:type="dxa"/>
        <w:right w:w="108" w:type="dxa"/>
      </w:tblCellMar>
    </w:tblPr>
    <w:tcPr>
      <w:shd w:val="clear" w:color="auto" w:fill="DCEED0" w:themeFill="accent4" w:themeFillTint="3F"/>
    </w:tcPr>
    <w:tblStylePr w:type="firstRow">
      <w:rPr>
        <w:b/>
        <w:bCs/>
      </w:rPr>
    </w:tblStylePr>
    <w:tblStylePr w:type="lastRow">
      <w:rPr>
        <w:b/>
        <w:bCs/>
      </w:rPr>
      <w:tblPr/>
      <w:tcPr>
        <w:tcBorders>
          <w:top w:val="single" w:color="97CD71" w:themeColor="accent4" w:themeTint="BF" w:sz="18" w:space="0"/>
        </w:tcBorders>
      </w:tcPr>
    </w:tblStylePr>
    <w:tblStylePr w:type="firstCol">
      <w:rPr>
        <w:b/>
        <w:bCs/>
      </w:rPr>
    </w:tblStylePr>
    <w:tblStylePr w:type="lastCol">
      <w:rPr>
        <w:b/>
        <w:bCs/>
      </w:r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91">
    <w:name w:val="Medium Grid 1 Accent 5"/>
    <w:basedOn w:val="35"/>
    <w:qFormat/>
    <w:uiPriority w:val="67"/>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insideV w:val="single" w:color="5DD6CC" w:themeColor="accent5" w:themeTint="BF" w:sz="8" w:space="0"/>
      </w:tblBorders>
      <w:tblCellMar>
        <w:top w:w="0" w:type="dxa"/>
        <w:left w:w="108" w:type="dxa"/>
        <w:bottom w:w="0" w:type="dxa"/>
        <w:right w:w="108" w:type="dxa"/>
      </w:tblCellMar>
    </w:tblPr>
    <w:tcPr>
      <w:shd w:val="clear" w:color="auto" w:fill="C9F1EE" w:themeFill="accent5" w:themeFillTint="3F"/>
    </w:tcPr>
    <w:tblStylePr w:type="firstRow">
      <w:rPr>
        <w:b/>
        <w:bCs/>
      </w:rPr>
    </w:tblStylePr>
    <w:tblStylePr w:type="lastRow">
      <w:rPr>
        <w:b/>
        <w:bCs/>
      </w:rPr>
      <w:tblPr/>
      <w:tcPr>
        <w:tcBorders>
          <w:top w:val="single" w:color="5DD6CC" w:themeColor="accent5" w:themeTint="BF" w:sz="18" w:space="0"/>
        </w:tcBorders>
      </w:tcPr>
    </w:tblStylePr>
    <w:tblStylePr w:type="firstCol">
      <w:rPr>
        <w:b/>
        <w:bCs/>
      </w:rPr>
    </w:tblStylePr>
    <w:tblStylePr w:type="lastCol">
      <w:rPr>
        <w:b/>
        <w:bCs/>
      </w:r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92">
    <w:name w:val="Medium Grid 1 Accent 6"/>
    <w:basedOn w:val="35"/>
    <w:qFormat/>
    <w:uiPriority w:val="67"/>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insideV w:val="single" w:color="EB7886" w:themeColor="accent6" w:themeTint="BF" w:sz="8" w:space="0"/>
      </w:tblBorders>
      <w:tblCellMar>
        <w:top w:w="0" w:type="dxa"/>
        <w:left w:w="108" w:type="dxa"/>
        <w:bottom w:w="0" w:type="dxa"/>
        <w:right w:w="108" w:type="dxa"/>
      </w:tblCellMar>
    </w:tblPr>
    <w:tcPr>
      <w:shd w:val="clear" w:color="auto" w:fill="F8D2D7" w:themeFill="accent6" w:themeFillTint="3F"/>
    </w:tcPr>
    <w:tblStylePr w:type="firstRow">
      <w:rPr>
        <w:b/>
        <w:bCs/>
      </w:rPr>
    </w:tblStylePr>
    <w:tblStylePr w:type="lastRow">
      <w:rPr>
        <w:b/>
        <w:bCs/>
      </w:rPr>
      <w:tblPr/>
      <w:tcPr>
        <w:tcBorders>
          <w:top w:val="single" w:color="EB7886" w:themeColor="accent6" w:themeTint="BF" w:sz="18" w:space="0"/>
        </w:tcBorders>
      </w:tcPr>
    </w:tblStylePr>
    <w:tblStylePr w:type="firstCol">
      <w:rPr>
        <w:b/>
        <w:bCs/>
      </w:rPr>
    </w:tblStylePr>
    <w:tblStylePr w:type="lastCol">
      <w:rPr>
        <w:b/>
        <w:bCs/>
      </w:r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table" w:styleId="93">
    <w:name w:val="Medium Grid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cPr>
      <w:shd w:val="clear" w:color="auto" w:fill="D1DCF2" w:themeFill="accent1" w:themeFillTint="3F"/>
    </w:tcPr>
    <w:tblStylePr w:type="firstRow">
      <w:rPr>
        <w:b/>
        <w:bCs/>
        <w:color w:val="000000" w:themeColor="text1"/>
        <w14:textFill>
          <w14:solidFill>
            <w14:schemeClr w14:val="tx1"/>
          </w14:solidFill>
        </w14:textFill>
      </w:rPr>
      <w:tblPr/>
      <w:tcPr>
        <w:shd w:val="clear" w:color="auto" w:fill="EDF1F9"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3F4" w:themeFill="accent1" w:themeFillTint="33"/>
      </w:tcPr>
    </w:tblStylePr>
    <w:tblStylePr w:type="band1Vert">
      <w:tblPr/>
      <w:tcPr>
        <w:shd w:val="clear" w:color="auto" w:fill="A3B9E5" w:themeFill="accent1" w:themeFillTint="7F"/>
      </w:tcPr>
    </w:tblStylePr>
    <w:tblStylePr w:type="band1Horz">
      <w:tblPr/>
      <w:tcPr>
        <w:tcBorders>
          <w:insideH w:val="single" w:sz="6" w:space="0"/>
          <w:insideV w:val="single" w:sz="6" w:space="0"/>
        </w:tcBorders>
        <w:shd w:val="clear" w:color="auto" w:fill="A3B9E5" w:themeFill="accent1" w:themeFillTint="7F"/>
      </w:tcPr>
    </w:tblStylePr>
    <w:tblStylePr w:type="nwCell">
      <w:tblPr/>
      <w:tcPr>
        <w:shd w:val="clear" w:color="auto" w:fill="FFFFFF" w:themeFill="background1"/>
      </w:tcPr>
    </w:tblStylePr>
  </w:style>
  <w:style w:type="table" w:styleId="95">
    <w:name w:val="Medium Grid 2 Accent 2"/>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cPr>
      <w:shd w:val="clear" w:color="auto" w:fill="FAE0CB" w:themeFill="accent2" w:themeFillTint="3F"/>
    </w:tcPr>
    <w:tblStylePr w:type="firstRow">
      <w:rPr>
        <w:b/>
        <w:bCs/>
        <w:color w:val="000000" w:themeColor="text1"/>
        <w14:textFill>
          <w14:solidFill>
            <w14:schemeClr w14:val="tx1"/>
          </w14:solidFill>
        </w14:textFill>
      </w:rPr>
      <w:tblPr/>
      <w:tcPr>
        <w:shd w:val="clear" w:color="auto" w:fill="FDF2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E5D5" w:themeFill="accent2" w:themeFillTint="33"/>
      </w:tcPr>
    </w:tblStylePr>
    <w:tblStylePr w:type="band1Vert">
      <w:tblPr/>
      <w:tcPr>
        <w:shd w:val="clear" w:color="auto" w:fill="F6C097" w:themeFill="accent2" w:themeFillTint="7F"/>
      </w:tcPr>
    </w:tblStylePr>
    <w:tblStylePr w:type="band1Horz">
      <w:tblPr/>
      <w:tcPr>
        <w:tcBorders>
          <w:insideH w:val="single" w:sz="6" w:space="0"/>
          <w:insideV w:val="single" w:sz="6" w:space="0"/>
        </w:tcBorders>
        <w:shd w:val="clear" w:color="auto" w:fill="F6C097" w:themeFill="accent2" w:themeFillTint="7F"/>
      </w:tcPr>
    </w:tblStylePr>
    <w:tblStylePr w:type="nwCell">
      <w:tblPr/>
      <w:tcPr>
        <w:shd w:val="clear" w:color="auto" w:fill="FFFFFF" w:themeFill="background1"/>
      </w:tcPr>
    </w:tblStylePr>
  </w:style>
  <w:style w:type="table" w:styleId="96">
    <w:name w:val="Medium Grid 2 Accent 3"/>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cPr>
      <w:shd w:val="clear" w:color="auto" w:fill="FEEFBD" w:themeFill="accent3" w:themeFillTint="3F"/>
    </w:tcPr>
    <w:tblStylePr w:type="firstRow">
      <w:rPr>
        <w:b/>
        <w:bCs/>
        <w:color w:val="000000" w:themeColor="text1"/>
        <w14:textFill>
          <w14:solidFill>
            <w14:schemeClr w14:val="tx1"/>
          </w14:solidFill>
        </w14:textFill>
      </w:rPr>
      <w:tblPr/>
      <w:tcPr>
        <w:shd w:val="clear" w:color="auto" w:fill="FEF8E5"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F2CA" w:themeFill="accent3" w:themeFillTint="33"/>
      </w:tcPr>
    </w:tblStylePr>
    <w:tblStylePr w:type="band1Vert">
      <w:tblPr/>
      <w:tcPr>
        <w:shd w:val="clear" w:color="auto" w:fill="FDDF7B" w:themeFill="accent3" w:themeFillTint="7F"/>
      </w:tcPr>
    </w:tblStylePr>
    <w:tblStylePr w:type="band1Horz">
      <w:tblPr/>
      <w:tcPr>
        <w:tcBorders>
          <w:insideH w:val="single" w:sz="6" w:space="0"/>
          <w:insideV w:val="single" w:sz="6" w:space="0"/>
        </w:tcBorders>
        <w:shd w:val="clear" w:color="auto" w:fill="FDDF7B" w:themeFill="accent3" w:themeFillTint="7F"/>
      </w:tcPr>
    </w:tblStylePr>
    <w:tblStylePr w:type="nwCell">
      <w:tblPr/>
      <w:tcPr>
        <w:shd w:val="clear" w:color="auto" w:fill="FFFFFF" w:themeFill="background1"/>
      </w:tcPr>
    </w:tblStylePr>
  </w:style>
  <w:style w:type="table" w:styleId="97">
    <w:name w:val="Medium Grid 2 Accent 4"/>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cPr>
      <w:shd w:val="clear" w:color="auto" w:fill="DCEED0" w:themeFill="accent4" w:themeFillTint="3F"/>
    </w:tcPr>
    <w:tblStylePr w:type="firstRow">
      <w:rPr>
        <w:b/>
        <w:bCs/>
        <w:color w:val="000000" w:themeColor="text1"/>
        <w14:textFill>
          <w14:solidFill>
            <w14:schemeClr w14:val="tx1"/>
          </w14:solidFill>
        </w14:textFill>
      </w:rPr>
      <w:tblPr/>
      <w:tcPr>
        <w:shd w:val="clear" w:color="auto" w:fill="F1F8EC"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3F1D9" w:themeFill="accent4" w:themeFillTint="33"/>
      </w:tcPr>
    </w:tblStylePr>
    <w:tblStylePr w:type="band1Vert">
      <w:tblPr/>
      <w:tcPr>
        <w:shd w:val="clear" w:color="auto" w:fill="BADEA0" w:themeFill="accent4" w:themeFillTint="7F"/>
      </w:tcPr>
    </w:tblStylePr>
    <w:tblStylePr w:type="band1Horz">
      <w:tblPr/>
      <w:tcPr>
        <w:tcBorders>
          <w:insideH w:val="single" w:sz="6" w:space="0"/>
          <w:insideV w:val="single" w:sz="6" w:space="0"/>
        </w:tcBorders>
        <w:shd w:val="clear" w:color="auto" w:fill="BADEA0" w:themeFill="accent4" w:themeFillTint="7F"/>
      </w:tcPr>
    </w:tblStylePr>
    <w:tblStylePr w:type="nwCell">
      <w:tblPr/>
      <w:tcPr>
        <w:shd w:val="clear" w:color="auto" w:fill="FFFFFF" w:themeFill="background1"/>
      </w:tcPr>
    </w:tblStylePr>
  </w:style>
  <w:style w:type="table" w:styleId="98">
    <w:name w:val="Medium Grid 2 Accent 5"/>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cPr>
      <w:shd w:val="clear" w:color="auto" w:fill="C9F1EE" w:themeFill="accent5" w:themeFillTint="3F"/>
    </w:tcPr>
    <w:tblStylePr w:type="firstRow">
      <w:rPr>
        <w:b/>
        <w:bCs/>
        <w:color w:val="000000" w:themeColor="text1"/>
        <w14:textFill>
          <w14:solidFill>
            <w14:schemeClr w14:val="tx1"/>
          </w14:solidFill>
        </w14:textFill>
      </w:rPr>
      <w:tblPr/>
      <w:tcPr>
        <w:shd w:val="clear" w:color="auto" w:fill="E9F9F8"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3F4F1" w:themeFill="accent5" w:themeFillTint="33"/>
      </w:tcPr>
    </w:tblStylePr>
    <w:tblStylePr w:type="band1Vert">
      <w:tblPr/>
      <w:tcPr>
        <w:shd w:val="clear" w:color="auto" w:fill="93E4DD" w:themeFill="accent5" w:themeFillTint="7F"/>
      </w:tcPr>
    </w:tblStylePr>
    <w:tblStylePr w:type="band1Horz">
      <w:tblPr/>
      <w:tcPr>
        <w:tcBorders>
          <w:insideH w:val="single" w:sz="6" w:space="0"/>
          <w:insideV w:val="single" w:sz="6" w:space="0"/>
        </w:tcBorders>
        <w:shd w:val="clear" w:color="auto" w:fill="93E4DD" w:themeFill="accent5" w:themeFillTint="7F"/>
      </w:tcPr>
    </w:tblStylePr>
    <w:tblStylePr w:type="nwCell">
      <w:tblPr/>
      <w:tcPr>
        <w:shd w:val="clear" w:color="auto" w:fill="FFFFFF" w:themeFill="background1"/>
      </w:tcPr>
    </w:tblStylePr>
  </w:style>
  <w:style w:type="table" w:styleId="99">
    <w:name w:val="Medium Grid 2 Accent 6"/>
    <w:basedOn w:val="35"/>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cPr>
      <w:shd w:val="clear" w:color="auto" w:fill="F8D2D7" w:themeFill="accent6" w:themeFillTint="3F"/>
    </w:tcPr>
    <w:tblStylePr w:type="firstRow">
      <w:rPr>
        <w:b/>
        <w:bCs/>
        <w:color w:val="000000" w:themeColor="text1"/>
        <w14:textFill>
          <w14:solidFill>
            <w14:schemeClr w14:val="tx1"/>
          </w14:solidFill>
        </w14:textFill>
      </w:rPr>
      <w:tblPr/>
      <w:tcPr>
        <w:shd w:val="clear" w:color="auto" w:fill="FCEDEF"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9DBDE" w:themeFill="accent6" w:themeFillTint="33"/>
      </w:tcPr>
    </w:tblStylePr>
    <w:tblStylePr w:type="band1Vert">
      <w:tblPr/>
      <w:tcPr>
        <w:shd w:val="clear" w:color="auto" w:fill="F2A5AE" w:themeFill="accent6" w:themeFillTint="7F"/>
      </w:tcPr>
    </w:tblStylePr>
    <w:tblStylePr w:type="band1Horz">
      <w:tblPr/>
      <w:tcPr>
        <w:tcBorders>
          <w:insideH w:val="single" w:sz="6" w:space="0"/>
          <w:insideV w:val="single" w:sz="6" w:space="0"/>
        </w:tcBorders>
        <w:shd w:val="clear" w:color="auto" w:fill="F2A5AE" w:themeFill="accent6" w:themeFillTint="7F"/>
      </w:tcPr>
    </w:tblStylePr>
    <w:tblStylePr w:type="nwCell">
      <w:tblPr/>
      <w:tcPr>
        <w:shd w:val="clear" w:color="auto" w:fill="FFFFFF" w:themeFill="background1"/>
      </w:tcPr>
    </w:tblStylePr>
  </w:style>
  <w:style w:type="table" w:styleId="100">
    <w:name w:val="Medium Grid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1DCF2"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874CB"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874CB"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874CB"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874CB"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3B9E5"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3B9E5" w:themeFill="accent1" w:themeFillTint="7F"/>
      </w:tcPr>
    </w:tblStylePr>
  </w:style>
  <w:style w:type="table" w:styleId="102">
    <w:name w:val="Medium Grid 3 Accent 2"/>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AE0CB"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E822F"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E822F"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E822F"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E822F"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C097"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6C097" w:themeFill="accent2" w:themeFillTint="7F"/>
      </w:tcPr>
    </w:tblStylePr>
  </w:style>
  <w:style w:type="table" w:styleId="103">
    <w:name w:val="Medium Grid 3 Accent 3"/>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EEFBD"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2BA02"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2BA02"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2BA02"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2BA02"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DDF7B"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DDF7B" w:themeFill="accent3" w:themeFillTint="7F"/>
      </w:tcPr>
    </w:tblStylePr>
  </w:style>
  <w:style w:type="table" w:styleId="104">
    <w:name w:val="Medium Grid 3 Accent 4"/>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CEED0"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75BD4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75BD4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75BD4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75BD4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ADEA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ADEA0" w:themeFill="accent4" w:themeFillTint="7F"/>
      </w:tcPr>
    </w:tblStylePr>
  </w:style>
  <w:style w:type="table" w:styleId="105">
    <w:name w:val="Medium Grid 3 Accent 5"/>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9F1EE"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30C0B4"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30C0B4"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30C0B4"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30C0B4"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93E4DD"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93E4DD" w:themeFill="accent5" w:themeFillTint="7F"/>
      </w:tcPr>
    </w:tblStylePr>
  </w:style>
  <w:style w:type="table" w:styleId="106">
    <w:name w:val="Medium Grid 3 Accent 6"/>
    <w:basedOn w:val="35"/>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8D2D7"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54C5E"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54C5E"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54C5E"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54C5E"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2A5AE"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2A5AE" w:themeFill="accent6" w:themeFillTint="7F"/>
      </w:tcPr>
    </w:tblStylePr>
  </w:style>
  <w:style w:type="table" w:styleId="107">
    <w:name w:val="Dark List"/>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874CB"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E376A"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D54A0"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D54A0" w:themeFill="accent1" w:themeFillShade="BF"/>
      </w:tcPr>
    </w:tblStylePr>
    <w:tblStylePr w:type="band1Vert">
      <w:tblPr/>
      <w:tcPr>
        <w:tcBorders>
          <w:top w:val="nil"/>
          <w:left w:val="nil"/>
          <w:bottom w:val="nil"/>
          <w:right w:val="nil"/>
          <w:insideH w:val="nil"/>
          <w:insideV w:val="nil"/>
        </w:tcBorders>
        <w:shd w:val="clear" w:color="auto" w:fill="2D54A0" w:themeFill="accent1" w:themeFillShade="BF"/>
      </w:tcPr>
    </w:tblStylePr>
    <w:tblStylePr w:type="band1Horz">
      <w:tblPr/>
      <w:tcPr>
        <w:tcBorders>
          <w:top w:val="nil"/>
          <w:left w:val="nil"/>
          <w:bottom w:val="nil"/>
          <w:right w:val="nil"/>
          <w:insideH w:val="nil"/>
          <w:insideV w:val="nil"/>
        </w:tcBorders>
        <w:shd w:val="clear" w:color="auto" w:fill="2D54A0" w:themeFill="accent1" w:themeFillShade="BF"/>
      </w:tcPr>
    </w:tblStylePr>
  </w:style>
  <w:style w:type="table" w:styleId="109">
    <w:name w:val="Dark List Accent 2"/>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E822F"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33F0A"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55E10"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55E10" w:themeFill="accent2" w:themeFillShade="BF"/>
      </w:tcPr>
    </w:tblStylePr>
    <w:tblStylePr w:type="band1Vert">
      <w:tblPr/>
      <w:tcPr>
        <w:tcBorders>
          <w:top w:val="nil"/>
          <w:left w:val="nil"/>
          <w:bottom w:val="nil"/>
          <w:right w:val="nil"/>
          <w:insideH w:val="nil"/>
          <w:insideV w:val="nil"/>
        </w:tcBorders>
        <w:shd w:val="clear" w:color="auto" w:fill="C55E10" w:themeFill="accent2" w:themeFillShade="BF"/>
      </w:tcPr>
    </w:tblStylePr>
    <w:tblStylePr w:type="band1Horz">
      <w:tblPr/>
      <w:tcPr>
        <w:tcBorders>
          <w:top w:val="nil"/>
          <w:left w:val="nil"/>
          <w:bottom w:val="nil"/>
          <w:right w:val="nil"/>
          <w:insideH w:val="nil"/>
          <w:insideV w:val="nil"/>
        </w:tcBorders>
        <w:shd w:val="clear" w:color="auto" w:fill="C55E10" w:themeFill="accent2" w:themeFillShade="BF"/>
      </w:tcPr>
    </w:tblStylePr>
  </w:style>
  <w:style w:type="table" w:styleId="110">
    <w:name w:val="Dark List Accent 3"/>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2BA02"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85C00"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B58B01"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B58B01" w:themeFill="accent3" w:themeFillShade="BF"/>
      </w:tcPr>
    </w:tblStylePr>
    <w:tblStylePr w:type="band1Vert">
      <w:tblPr/>
      <w:tcPr>
        <w:tcBorders>
          <w:top w:val="nil"/>
          <w:left w:val="nil"/>
          <w:bottom w:val="nil"/>
          <w:right w:val="nil"/>
          <w:insideH w:val="nil"/>
          <w:insideV w:val="nil"/>
        </w:tcBorders>
        <w:shd w:val="clear" w:color="auto" w:fill="B58B01" w:themeFill="accent3" w:themeFillShade="BF"/>
      </w:tcPr>
    </w:tblStylePr>
    <w:tblStylePr w:type="band1Horz">
      <w:tblPr/>
      <w:tcPr>
        <w:tcBorders>
          <w:top w:val="nil"/>
          <w:left w:val="nil"/>
          <w:bottom w:val="nil"/>
          <w:right w:val="nil"/>
          <w:insideH w:val="nil"/>
          <w:insideV w:val="nil"/>
        </w:tcBorders>
        <w:shd w:val="clear" w:color="auto" w:fill="B58B01" w:themeFill="accent3" w:themeFillShade="BF"/>
      </w:tcPr>
    </w:tblStylePr>
  </w:style>
  <w:style w:type="table" w:styleId="111">
    <w:name w:val="Dark List Accent 4"/>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75BD4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A5E2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78D31"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78D31" w:themeFill="accent4" w:themeFillShade="BF"/>
      </w:tcPr>
    </w:tblStylePr>
    <w:tblStylePr w:type="band1Vert">
      <w:tblPr/>
      <w:tcPr>
        <w:tcBorders>
          <w:top w:val="nil"/>
          <w:left w:val="nil"/>
          <w:bottom w:val="nil"/>
          <w:right w:val="nil"/>
          <w:insideH w:val="nil"/>
          <w:insideV w:val="nil"/>
        </w:tcBorders>
        <w:shd w:val="clear" w:color="auto" w:fill="578D31" w:themeFill="accent4" w:themeFillShade="BF"/>
      </w:tcPr>
    </w:tblStylePr>
    <w:tblStylePr w:type="band1Horz">
      <w:tblPr/>
      <w:tcPr>
        <w:tcBorders>
          <w:top w:val="nil"/>
          <w:left w:val="nil"/>
          <w:bottom w:val="nil"/>
          <w:right w:val="nil"/>
          <w:insideH w:val="nil"/>
          <w:insideV w:val="nil"/>
        </w:tcBorders>
        <w:shd w:val="clear" w:color="auto" w:fill="578D31" w:themeFill="accent4" w:themeFillShade="BF"/>
      </w:tcPr>
    </w:tblStylePr>
  </w:style>
  <w:style w:type="table" w:styleId="112">
    <w:name w:val="Dark List Accent 5"/>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30C0B4"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75F59"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38F86"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38F86" w:themeFill="accent5" w:themeFillShade="BF"/>
      </w:tcPr>
    </w:tblStylePr>
    <w:tblStylePr w:type="band1Vert">
      <w:tblPr/>
      <w:tcPr>
        <w:tcBorders>
          <w:top w:val="nil"/>
          <w:left w:val="nil"/>
          <w:bottom w:val="nil"/>
          <w:right w:val="nil"/>
          <w:insideH w:val="nil"/>
          <w:insideV w:val="nil"/>
        </w:tcBorders>
        <w:shd w:val="clear" w:color="auto" w:fill="238F86" w:themeFill="accent5" w:themeFillShade="BF"/>
      </w:tcPr>
    </w:tblStylePr>
    <w:tblStylePr w:type="band1Horz">
      <w:tblPr/>
      <w:tcPr>
        <w:tcBorders>
          <w:top w:val="nil"/>
          <w:left w:val="nil"/>
          <w:bottom w:val="nil"/>
          <w:right w:val="nil"/>
          <w:insideH w:val="nil"/>
          <w:insideV w:val="nil"/>
        </w:tcBorders>
        <w:shd w:val="clear" w:color="auto" w:fill="238F86" w:themeFill="accent5" w:themeFillShade="BF"/>
      </w:tcPr>
    </w:tblStylePr>
  </w:style>
  <w:style w:type="table" w:styleId="113">
    <w:name w:val="Dark List Accent 6"/>
    <w:basedOn w:val="35"/>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54C5E"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41320"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C71C31"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C71C31" w:themeFill="accent6" w:themeFillShade="BF"/>
      </w:tcPr>
    </w:tblStylePr>
    <w:tblStylePr w:type="band1Vert">
      <w:tblPr/>
      <w:tcPr>
        <w:tcBorders>
          <w:top w:val="nil"/>
          <w:left w:val="nil"/>
          <w:bottom w:val="nil"/>
          <w:right w:val="nil"/>
          <w:insideH w:val="nil"/>
          <w:insideV w:val="nil"/>
        </w:tcBorders>
        <w:shd w:val="clear" w:color="auto" w:fill="C71C31" w:themeFill="accent6" w:themeFillShade="BF"/>
      </w:tcPr>
    </w:tblStylePr>
    <w:tblStylePr w:type="band1Horz">
      <w:tblPr/>
      <w:tcPr>
        <w:tcBorders>
          <w:top w:val="nil"/>
          <w:left w:val="nil"/>
          <w:bottom w:val="nil"/>
          <w:right w:val="nil"/>
          <w:insideH w:val="nil"/>
          <w:insideV w:val="nil"/>
        </w:tcBorders>
        <w:shd w:val="clear" w:color="auto" w:fill="C71C31" w:themeFill="accent6" w:themeFillShade="BF"/>
      </w:tcPr>
    </w:tblStylePr>
  </w:style>
  <w:style w:type="table" w:styleId="114">
    <w:name w:val="Colorful Shading"/>
    <w:basedOn w:val="35"/>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4874CB" w:themeColor="accent1" w:sz="4" w:space="0"/>
        <w:bottom w:val="single" w:color="4874CB" w:themeColor="accent1" w:sz="4" w:space="0"/>
        <w:right w:val="single" w:color="4874CB"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1F9" w:themeFill="accen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44380"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44380"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44380" w:themeFill="accent1" w:themeFillShade="99"/>
      </w:tcPr>
    </w:tblStylePr>
    <w:tblStylePr w:type="band1Vert">
      <w:tblPr/>
      <w:tcPr>
        <w:shd w:val="clear" w:color="auto" w:fill="B5C7EA" w:themeFill="accent1" w:themeFillTint="66"/>
      </w:tcPr>
    </w:tblStylePr>
    <w:tblStylePr w:type="band1Horz">
      <w:tblPr/>
      <w:tcPr>
        <w:shd w:val="clear" w:color="auto" w:fill="A3B9E5"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qFormat/>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EE822F" w:themeColor="accent2" w:sz="4" w:space="0"/>
        <w:bottom w:val="single" w:color="EE822F" w:themeColor="accent2" w:sz="4" w:space="0"/>
        <w:right w:val="single" w:color="EE822F"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E4B0C"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E4B0C"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E4B0C" w:themeFill="accent2" w:themeFillShade="99"/>
      </w:tcPr>
    </w:tblStylePr>
    <w:tblStylePr w:type="band1Vert">
      <w:tblPr/>
      <w:tcPr>
        <w:shd w:val="clear" w:color="auto" w:fill="F8CCAB" w:themeFill="accent2" w:themeFillTint="66"/>
      </w:tcPr>
    </w:tblStylePr>
    <w:tblStylePr w:type="band1Horz">
      <w:tblPr/>
      <w:tcPr>
        <w:shd w:val="clear" w:color="auto" w:fill="F6C097"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qFormat/>
    <w:uiPriority w:val="71"/>
    <w:pPr>
      <w:spacing w:after="0" w:line="240" w:lineRule="auto"/>
    </w:pPr>
    <w:rPr>
      <w:color w:val="000000" w:themeColor="text1"/>
      <w14:textFill>
        <w14:solidFill>
          <w14:schemeClr w14:val="tx1"/>
        </w14:solidFill>
      </w14:textFill>
    </w:rPr>
    <w:tblPr>
      <w:tblBorders>
        <w:top w:val="single" w:color="75BD42" w:themeColor="accent4" w:sz="24" w:space="0"/>
        <w:left w:val="single" w:color="F2BA02" w:themeColor="accent3" w:sz="4" w:space="0"/>
        <w:bottom w:val="single" w:color="F2BA02" w:themeColor="accent3" w:sz="4" w:space="0"/>
        <w:right w:val="single" w:color="F2BA02"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8E5" w:themeFill="accent3" w:themeFillTint="19"/>
    </w:tcPr>
    <w:tblStylePr w:type="firstRow">
      <w:rPr>
        <w:b/>
        <w:bCs/>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16F01"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16F01"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16F01" w:themeFill="accent3" w:themeFillShade="99"/>
      </w:tcPr>
    </w:tblStylePr>
    <w:tblStylePr w:type="band1Vert">
      <w:tblPr/>
      <w:tcPr>
        <w:shd w:val="clear" w:color="auto" w:fill="FEE595" w:themeFill="accent3" w:themeFillTint="66"/>
      </w:tcPr>
    </w:tblStylePr>
    <w:tblStylePr w:type="band1Horz">
      <w:tblPr/>
      <w:tcPr>
        <w:shd w:val="clear" w:color="auto" w:fill="FDDF7B" w:themeFill="accent3" w:themeFillTint="7F"/>
      </w:tcPr>
    </w:tblStylePr>
  </w:style>
  <w:style w:type="table" w:styleId="118">
    <w:name w:val="Colorful Shading Accent 4"/>
    <w:basedOn w:val="35"/>
    <w:qFormat/>
    <w:uiPriority w:val="71"/>
    <w:pPr>
      <w:spacing w:after="0" w:line="240" w:lineRule="auto"/>
    </w:pPr>
    <w:rPr>
      <w:color w:val="000000" w:themeColor="text1"/>
      <w14:textFill>
        <w14:solidFill>
          <w14:schemeClr w14:val="tx1"/>
        </w14:solidFill>
      </w14:textFill>
    </w:rPr>
    <w:tblPr>
      <w:tblBorders>
        <w:top w:val="single" w:color="F2BA02" w:themeColor="accent3" w:sz="24" w:space="0"/>
        <w:left w:val="single" w:color="75BD42" w:themeColor="accent4" w:sz="4" w:space="0"/>
        <w:bottom w:val="single" w:color="75BD42" w:themeColor="accent4" w:sz="4" w:space="0"/>
        <w:right w:val="single" w:color="75BD4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1F8EC" w:themeFill="accent4" w:themeFillTint="19"/>
    </w:tcPr>
    <w:tblStylePr w:type="firstRow">
      <w:rPr>
        <w:b/>
        <w:bCs/>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67127"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67127"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67127" w:themeFill="accent4" w:themeFillShade="99"/>
      </w:tcPr>
    </w:tblStylePr>
    <w:tblStylePr w:type="band1Vert">
      <w:tblPr/>
      <w:tcPr>
        <w:shd w:val="clear" w:color="auto" w:fill="C7E4B3" w:themeFill="accent4" w:themeFillTint="66"/>
      </w:tcPr>
    </w:tblStylePr>
    <w:tblStylePr w:type="band1Horz">
      <w:tblPr/>
      <w:tcPr>
        <w:shd w:val="clear" w:color="auto" w:fill="BADEA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qFormat/>
    <w:uiPriority w:val="71"/>
    <w:pPr>
      <w:spacing w:after="0" w:line="240" w:lineRule="auto"/>
    </w:pPr>
    <w:rPr>
      <w:color w:val="000000" w:themeColor="text1"/>
      <w14:textFill>
        <w14:solidFill>
          <w14:schemeClr w14:val="tx1"/>
        </w14:solidFill>
      </w14:textFill>
    </w:rPr>
    <w:tblPr>
      <w:tblBorders>
        <w:top w:val="single" w:color="E54C5E" w:themeColor="accent6" w:sz="24" w:space="0"/>
        <w:left w:val="single" w:color="30C0B4" w:themeColor="accent5" w:sz="4" w:space="0"/>
        <w:bottom w:val="single" w:color="30C0B4" w:themeColor="accent5" w:sz="4" w:space="0"/>
        <w:right w:val="single" w:color="30C0B4"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9F9F8" w:themeFill="accent5" w:themeFillTint="19"/>
    </w:tcPr>
    <w:tblStylePr w:type="firstRow">
      <w:rPr>
        <w:b/>
        <w:bCs/>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1C736B"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1C736B"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1C736B" w:themeFill="accent5" w:themeFillShade="99"/>
      </w:tcPr>
    </w:tblStylePr>
    <w:tblStylePr w:type="band1Vert">
      <w:tblPr/>
      <w:tcPr>
        <w:shd w:val="clear" w:color="auto" w:fill="A8E9E3" w:themeFill="accent5" w:themeFillTint="66"/>
      </w:tcPr>
    </w:tblStylePr>
    <w:tblStylePr w:type="band1Horz">
      <w:tblPr/>
      <w:tcPr>
        <w:shd w:val="clear" w:color="auto" w:fill="93E4DD"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qFormat/>
    <w:uiPriority w:val="71"/>
    <w:pPr>
      <w:spacing w:after="0" w:line="240" w:lineRule="auto"/>
    </w:pPr>
    <w:rPr>
      <w:color w:val="000000" w:themeColor="text1"/>
      <w14:textFill>
        <w14:solidFill>
          <w14:schemeClr w14:val="tx1"/>
        </w14:solidFill>
      </w14:textFill>
    </w:rPr>
    <w:tblPr>
      <w:tblBorders>
        <w:top w:val="single" w:color="30C0B4" w:themeColor="accent5" w:sz="24" w:space="0"/>
        <w:left w:val="single" w:color="E54C5E" w:themeColor="accent6" w:sz="4" w:space="0"/>
        <w:bottom w:val="single" w:color="E54C5E" w:themeColor="accent6" w:sz="4" w:space="0"/>
        <w:right w:val="single" w:color="E54C5E"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CEDEF" w:themeFill="accent6" w:themeFillTint="19"/>
    </w:tcPr>
    <w:tblStylePr w:type="firstRow">
      <w:rPr>
        <w:b/>
        <w:bCs/>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F172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F172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F1727" w:themeFill="accent6" w:themeFillShade="99"/>
      </w:tcPr>
    </w:tblStylePr>
    <w:tblStylePr w:type="band1Vert">
      <w:tblPr/>
      <w:tcPr>
        <w:shd w:val="clear" w:color="auto" w:fill="F4B7BE" w:themeFill="accent6" w:themeFillTint="66"/>
      </w:tcPr>
    </w:tblStylePr>
    <w:tblStylePr w:type="band1Horz">
      <w:tblPr/>
      <w:tcPr>
        <w:shd w:val="clear" w:color="auto" w:fill="F2A5AE"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1F9"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CF2" w:themeFill="accent1" w:themeFillTint="3F"/>
      </w:tcPr>
    </w:tblStylePr>
    <w:tblStylePr w:type="band1Horz">
      <w:tblPr/>
      <w:tcPr>
        <w:shd w:val="clear" w:color="auto" w:fill="DAE3F4" w:themeFill="accent1" w:themeFillTint="33"/>
      </w:tcPr>
    </w:tblStylePr>
  </w:style>
  <w:style w:type="table" w:styleId="123">
    <w:name w:val="Colorful List Accent 2"/>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E0CB" w:themeFill="accent2" w:themeFillTint="3F"/>
      </w:tcPr>
    </w:tblStylePr>
    <w:tblStylePr w:type="band1Horz">
      <w:tblPr/>
      <w:tcPr>
        <w:shd w:val="clear" w:color="auto" w:fill="FBE5D5" w:themeFill="accent2" w:themeFillTint="33"/>
      </w:tcPr>
    </w:tblStylePr>
  </w:style>
  <w:style w:type="table" w:styleId="124">
    <w:name w:val="Colorful List Accent 3"/>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8E5"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5D9734" w:themeFill="accent4" w:themeFillShade="CC"/>
      </w:tcPr>
    </w:tblStylePr>
    <w:tblStylePr w:type="lastRow">
      <w:rPr>
        <w:b/>
        <w:bCs/>
        <w:color w:val="5E9735"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FBD" w:themeFill="accent3" w:themeFillTint="3F"/>
      </w:tcPr>
    </w:tblStylePr>
    <w:tblStylePr w:type="band1Horz">
      <w:tblPr/>
      <w:tcPr>
        <w:shd w:val="clear" w:color="auto" w:fill="FEF2CA" w:themeFill="accent3" w:themeFillTint="33"/>
      </w:tcPr>
    </w:tblStylePr>
  </w:style>
  <w:style w:type="table" w:styleId="125">
    <w:name w:val="Colorful List Accent 4"/>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1F8EC"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19401" w:themeFill="accent3" w:themeFillShade="CC"/>
      </w:tcPr>
    </w:tblStylePr>
    <w:tblStylePr w:type="lastRow">
      <w:rPr>
        <w:b/>
        <w:bCs/>
        <w:color w:val="C29502"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ED0" w:themeFill="accent4" w:themeFillTint="3F"/>
      </w:tcPr>
    </w:tblStylePr>
    <w:tblStylePr w:type="band1Horz">
      <w:tblPr/>
      <w:tcPr>
        <w:shd w:val="clear" w:color="auto" w:fill="E3F1D9" w:themeFill="accent4" w:themeFillTint="33"/>
      </w:tcPr>
    </w:tblStylePr>
  </w:style>
  <w:style w:type="table" w:styleId="126">
    <w:name w:val="Colorful List Accent 5"/>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9F9F8"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51E34" w:themeFill="accent6" w:themeFillShade="CC"/>
      </w:tcPr>
    </w:tblStylePr>
    <w:tblStylePr w:type="lastRow">
      <w:rPr>
        <w:b/>
        <w:bCs/>
        <w:color w:val="D51F34"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F1EE" w:themeFill="accent5" w:themeFillTint="3F"/>
      </w:tcPr>
    </w:tblStylePr>
    <w:tblStylePr w:type="band1Horz">
      <w:tblPr/>
      <w:tcPr>
        <w:shd w:val="clear" w:color="auto" w:fill="D3F4F1" w:themeFill="accent5" w:themeFillTint="33"/>
      </w:tcPr>
    </w:tblStylePr>
  </w:style>
  <w:style w:type="table" w:styleId="127">
    <w:name w:val="Colorful List Accent 6"/>
    <w:basedOn w:val="35"/>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CEDEF"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26998F" w:themeFill="accent5" w:themeFillShade="CC"/>
      </w:tcPr>
    </w:tblStylePr>
    <w:tblStylePr w:type="lastRow">
      <w:rPr>
        <w:b/>
        <w:bCs/>
        <w:color w:val="269A90"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2D7" w:themeFill="accent6" w:themeFillTint="3F"/>
      </w:tcPr>
    </w:tblStylePr>
    <w:tblStylePr w:type="band1Horz">
      <w:tblPr/>
      <w:tcPr>
        <w:shd w:val="clear" w:color="auto" w:fill="F9DBDE" w:themeFill="accent6" w:themeFillTint="33"/>
      </w:tcPr>
    </w:tblStylePr>
  </w:style>
  <w:style w:type="table" w:styleId="128">
    <w:name w:val="Colorful Grid"/>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3F4" w:themeFill="accent1" w:themeFillTint="33"/>
    </w:tcPr>
    <w:tblStylePr w:type="firstRow">
      <w:rPr>
        <w:b/>
        <w:bCs/>
      </w:rPr>
      <w:tblPr/>
      <w:tcPr>
        <w:shd w:val="clear" w:color="auto" w:fill="B5C7EA" w:themeFill="accent1" w:themeFillTint="66"/>
      </w:tcPr>
    </w:tblStylePr>
    <w:tblStylePr w:type="lastRow">
      <w:rPr>
        <w:b/>
        <w:bCs/>
        <w:color w:val="000000" w:themeColor="text1"/>
        <w14:textFill>
          <w14:solidFill>
            <w14:schemeClr w14:val="tx1"/>
          </w14:solidFill>
        </w14:textFill>
      </w:rPr>
      <w:tblPr/>
      <w:tcPr>
        <w:shd w:val="clear" w:color="auto" w:fill="B5C7EA" w:themeFill="accent1" w:themeFillTint="66"/>
      </w:tcPr>
    </w:tblStylePr>
    <w:tblStylePr w:type="firstCol">
      <w:rPr>
        <w:color w:val="FFFFFF" w:themeColor="background1"/>
        <w14:textFill>
          <w14:solidFill>
            <w14:schemeClr w14:val="bg1"/>
          </w14:solidFill>
        </w14:textFill>
      </w:rPr>
      <w:tblPr/>
      <w:tcPr>
        <w:shd w:val="clear" w:color="auto" w:fill="2D54A0" w:themeFill="accent1" w:themeFillShade="BF"/>
      </w:tcPr>
    </w:tblStylePr>
    <w:tblStylePr w:type="lastCol">
      <w:rPr>
        <w:color w:val="FFFFFF" w:themeColor="background1"/>
        <w14:textFill>
          <w14:solidFill>
            <w14:schemeClr w14:val="bg1"/>
          </w14:solidFill>
        </w14:textFill>
      </w:rPr>
      <w:tblPr/>
      <w:tcPr>
        <w:shd w:val="clear" w:color="auto" w:fill="2D54A0" w:themeFill="accent1" w:themeFillShade="BF"/>
      </w:tc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130">
    <w:name w:val="Colorful Grid Accent 2"/>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BE5D5" w:themeFill="accent2" w:themeFillTint="33"/>
    </w:tcPr>
    <w:tblStylePr w:type="firstRow">
      <w:rPr>
        <w:b/>
        <w:bCs/>
      </w:rPr>
      <w:tblPr/>
      <w:tcPr>
        <w:shd w:val="clear" w:color="auto" w:fill="F8CCAB" w:themeFill="accent2" w:themeFillTint="66"/>
      </w:tcPr>
    </w:tblStylePr>
    <w:tblStylePr w:type="lastRow">
      <w:rPr>
        <w:b/>
        <w:bCs/>
        <w:color w:val="000000" w:themeColor="text1"/>
        <w14:textFill>
          <w14:solidFill>
            <w14:schemeClr w14:val="tx1"/>
          </w14:solidFill>
        </w14:textFill>
      </w:rPr>
      <w:tblPr/>
      <w:tcPr>
        <w:shd w:val="clear" w:color="auto" w:fill="F8CCAB" w:themeFill="accent2" w:themeFillTint="66"/>
      </w:tcPr>
    </w:tblStylePr>
    <w:tblStylePr w:type="firstCol">
      <w:rPr>
        <w:color w:val="FFFFFF" w:themeColor="background1"/>
        <w14:textFill>
          <w14:solidFill>
            <w14:schemeClr w14:val="bg1"/>
          </w14:solidFill>
        </w14:textFill>
      </w:rPr>
      <w:tblPr/>
      <w:tcPr>
        <w:shd w:val="clear" w:color="auto" w:fill="C55E10" w:themeFill="accent2" w:themeFillShade="BF"/>
      </w:tcPr>
    </w:tblStylePr>
    <w:tblStylePr w:type="lastCol">
      <w:rPr>
        <w:color w:val="FFFFFF" w:themeColor="background1"/>
        <w14:textFill>
          <w14:solidFill>
            <w14:schemeClr w14:val="bg1"/>
          </w14:solidFill>
        </w14:textFill>
      </w:rPr>
      <w:tblPr/>
      <w:tcPr>
        <w:shd w:val="clear" w:color="auto" w:fill="C55E10" w:themeFill="accent2" w:themeFillShade="BF"/>
      </w:tc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131">
    <w:name w:val="Colorful Grid Accent 3"/>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EF2CA" w:themeFill="accent3" w:themeFillTint="33"/>
    </w:tcPr>
    <w:tblStylePr w:type="firstRow">
      <w:rPr>
        <w:b/>
        <w:bCs/>
      </w:rPr>
      <w:tblPr/>
      <w:tcPr>
        <w:shd w:val="clear" w:color="auto" w:fill="FEE595" w:themeFill="accent3" w:themeFillTint="66"/>
      </w:tcPr>
    </w:tblStylePr>
    <w:tblStylePr w:type="lastRow">
      <w:rPr>
        <w:b/>
        <w:bCs/>
        <w:color w:val="000000" w:themeColor="text1"/>
        <w14:textFill>
          <w14:solidFill>
            <w14:schemeClr w14:val="tx1"/>
          </w14:solidFill>
        </w14:textFill>
      </w:rPr>
      <w:tblPr/>
      <w:tcPr>
        <w:shd w:val="clear" w:color="auto" w:fill="FEE595" w:themeFill="accent3" w:themeFillTint="66"/>
      </w:tcPr>
    </w:tblStylePr>
    <w:tblStylePr w:type="firstCol">
      <w:rPr>
        <w:color w:val="FFFFFF" w:themeColor="background1"/>
        <w14:textFill>
          <w14:solidFill>
            <w14:schemeClr w14:val="bg1"/>
          </w14:solidFill>
        </w14:textFill>
      </w:rPr>
      <w:tblPr/>
      <w:tcPr>
        <w:shd w:val="clear" w:color="auto" w:fill="B58B01" w:themeFill="accent3" w:themeFillShade="BF"/>
      </w:tcPr>
    </w:tblStylePr>
    <w:tblStylePr w:type="lastCol">
      <w:rPr>
        <w:color w:val="FFFFFF" w:themeColor="background1"/>
        <w14:textFill>
          <w14:solidFill>
            <w14:schemeClr w14:val="bg1"/>
          </w14:solidFill>
        </w14:textFill>
      </w:rPr>
      <w:tblPr/>
      <w:tcPr>
        <w:shd w:val="clear" w:color="auto" w:fill="B58B01" w:themeFill="accent3" w:themeFillShade="BF"/>
      </w:tc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132">
    <w:name w:val="Colorful Grid Accent 4"/>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3F1D9" w:themeFill="accent4" w:themeFillTint="33"/>
    </w:tcPr>
    <w:tblStylePr w:type="firstRow">
      <w:rPr>
        <w:b/>
        <w:bCs/>
      </w:rPr>
      <w:tblPr/>
      <w:tcPr>
        <w:shd w:val="clear" w:color="auto" w:fill="C7E4B3" w:themeFill="accent4" w:themeFillTint="66"/>
      </w:tcPr>
    </w:tblStylePr>
    <w:tblStylePr w:type="lastRow">
      <w:rPr>
        <w:b/>
        <w:bCs/>
        <w:color w:val="000000" w:themeColor="text1"/>
        <w14:textFill>
          <w14:solidFill>
            <w14:schemeClr w14:val="tx1"/>
          </w14:solidFill>
        </w14:textFill>
      </w:rPr>
      <w:tblPr/>
      <w:tcPr>
        <w:shd w:val="clear" w:color="auto" w:fill="C7E4B3" w:themeFill="accent4" w:themeFillTint="66"/>
      </w:tcPr>
    </w:tblStylePr>
    <w:tblStylePr w:type="firstCol">
      <w:rPr>
        <w:color w:val="FFFFFF" w:themeColor="background1"/>
        <w14:textFill>
          <w14:solidFill>
            <w14:schemeClr w14:val="bg1"/>
          </w14:solidFill>
        </w14:textFill>
      </w:rPr>
      <w:tblPr/>
      <w:tcPr>
        <w:shd w:val="clear" w:color="auto" w:fill="578D31" w:themeFill="accent4" w:themeFillShade="BF"/>
      </w:tcPr>
    </w:tblStylePr>
    <w:tblStylePr w:type="lastCol">
      <w:rPr>
        <w:color w:val="FFFFFF" w:themeColor="background1"/>
        <w14:textFill>
          <w14:solidFill>
            <w14:schemeClr w14:val="bg1"/>
          </w14:solidFill>
        </w14:textFill>
      </w:rPr>
      <w:tblPr/>
      <w:tcPr>
        <w:shd w:val="clear" w:color="auto" w:fill="578D31" w:themeFill="accent4" w:themeFillShade="BF"/>
      </w:tc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133">
    <w:name w:val="Colorful Grid Accent 5"/>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3F4F1" w:themeFill="accent5" w:themeFillTint="33"/>
    </w:tcPr>
    <w:tblStylePr w:type="firstRow">
      <w:rPr>
        <w:b/>
        <w:bCs/>
      </w:rPr>
      <w:tblPr/>
      <w:tcPr>
        <w:shd w:val="clear" w:color="auto" w:fill="A8E9E3" w:themeFill="accent5" w:themeFillTint="66"/>
      </w:tcPr>
    </w:tblStylePr>
    <w:tblStylePr w:type="lastRow">
      <w:rPr>
        <w:b/>
        <w:bCs/>
        <w:color w:val="000000" w:themeColor="text1"/>
        <w14:textFill>
          <w14:solidFill>
            <w14:schemeClr w14:val="tx1"/>
          </w14:solidFill>
        </w14:textFill>
      </w:rPr>
      <w:tblPr/>
      <w:tcPr>
        <w:shd w:val="clear" w:color="auto" w:fill="A8E9E3" w:themeFill="accent5" w:themeFillTint="66"/>
      </w:tcPr>
    </w:tblStylePr>
    <w:tblStylePr w:type="firstCol">
      <w:rPr>
        <w:color w:val="FFFFFF" w:themeColor="background1"/>
        <w14:textFill>
          <w14:solidFill>
            <w14:schemeClr w14:val="bg1"/>
          </w14:solidFill>
        </w14:textFill>
      </w:rPr>
      <w:tblPr/>
      <w:tcPr>
        <w:shd w:val="clear" w:color="auto" w:fill="238F86" w:themeFill="accent5" w:themeFillShade="BF"/>
      </w:tcPr>
    </w:tblStylePr>
    <w:tblStylePr w:type="lastCol">
      <w:rPr>
        <w:color w:val="FFFFFF" w:themeColor="background1"/>
        <w14:textFill>
          <w14:solidFill>
            <w14:schemeClr w14:val="bg1"/>
          </w14:solidFill>
        </w14:textFill>
      </w:rPr>
      <w:tblPr/>
      <w:tcPr>
        <w:shd w:val="clear" w:color="auto" w:fill="238F86" w:themeFill="accent5" w:themeFillShade="BF"/>
      </w:tc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134">
    <w:name w:val="Colorful Grid Accent 6"/>
    <w:basedOn w:val="35"/>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9DBDE" w:themeFill="accent6" w:themeFillTint="33"/>
    </w:tcPr>
    <w:tblStylePr w:type="firstRow">
      <w:rPr>
        <w:b/>
        <w:bCs/>
      </w:rPr>
      <w:tblPr/>
      <w:tcPr>
        <w:shd w:val="clear" w:color="auto" w:fill="F4B7BE" w:themeFill="accent6" w:themeFillTint="66"/>
      </w:tcPr>
    </w:tblStylePr>
    <w:tblStylePr w:type="lastRow">
      <w:rPr>
        <w:b/>
        <w:bCs/>
        <w:color w:val="000000" w:themeColor="text1"/>
        <w14:textFill>
          <w14:solidFill>
            <w14:schemeClr w14:val="tx1"/>
          </w14:solidFill>
        </w14:textFill>
      </w:rPr>
      <w:tblPr/>
      <w:tcPr>
        <w:shd w:val="clear" w:color="auto" w:fill="F4B7BE" w:themeFill="accent6" w:themeFillTint="66"/>
      </w:tcPr>
    </w:tblStylePr>
    <w:tblStylePr w:type="firstCol">
      <w:rPr>
        <w:color w:val="FFFFFF" w:themeColor="background1"/>
        <w14:textFill>
          <w14:solidFill>
            <w14:schemeClr w14:val="bg1"/>
          </w14:solidFill>
        </w14:textFill>
      </w:rPr>
      <w:tblPr/>
      <w:tcPr>
        <w:shd w:val="clear" w:color="auto" w:fill="C71C31" w:themeFill="accent6" w:themeFillShade="BF"/>
      </w:tcPr>
    </w:tblStylePr>
    <w:tblStylePr w:type="lastCol">
      <w:rPr>
        <w:color w:val="FFFFFF" w:themeColor="background1"/>
        <w14:textFill>
          <w14:solidFill>
            <w14:schemeClr w14:val="bg1"/>
          </w14:solidFill>
        </w14:textFill>
      </w:rPr>
      <w:tblPr/>
      <w:tcPr>
        <w:shd w:val="clear" w:color="auto" w:fill="C71C31" w:themeFill="accent6" w:themeFillShade="BF"/>
      </w:tc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uiPriority w:val="99"/>
  </w:style>
  <w:style w:type="character" w:customStyle="1" w:styleId="139">
    <w:name w:val="Footer Char"/>
    <w:basedOn w:val="135"/>
    <w:link w:val="25"/>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qFormat/>
    <w:uiPriority w:val="9"/>
    <w:rPr>
      <w:rFonts w:ascii="Cambria" w:hAnsi="Cambria" w:eastAsia="黑体" w:cs="Cambria"/>
      <w:b/>
      <w:color w:val="000000"/>
      <w:kern w:val="44"/>
      <w:sz w:val="32"/>
      <w:szCs w:val="44"/>
    </w:rPr>
  </w:style>
  <w:style w:type="character" w:customStyle="1" w:styleId="142">
    <w:name w:val="Heading 2 Char"/>
    <w:basedOn w:val="135"/>
    <w:qFormat/>
    <w:uiPriority w:val="9"/>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customStyle="1" w:styleId="143">
    <w:name w:val="Heading 3 Char"/>
    <w:basedOn w:val="135"/>
    <w:qFormat/>
    <w:uiPriority w:val="9"/>
    <w:rPr>
      <w:rFonts w:asciiTheme="majorHAnsi" w:hAnsiTheme="majorHAnsi" w:eastAsiaTheme="majorEastAsia" w:cstheme="majorBidi"/>
      <w:b/>
      <w:bCs/>
      <w:color w:val="4874CB" w:themeColor="accent1"/>
      <w14:textFill>
        <w14:solidFill>
          <w14:schemeClr w14:val="accent1"/>
        </w14:solidFill>
      </w14:textFill>
    </w:rPr>
  </w:style>
  <w:style w:type="character" w:customStyle="1" w:styleId="144">
    <w:name w:val="Title Char"/>
    <w:basedOn w:val="135"/>
    <w:qFormat/>
    <w:uiPriority w:val="10"/>
    <w:rPr>
      <w:rFonts w:asciiTheme="majorHAnsi" w:hAnsiTheme="majorHAnsi" w:eastAsiaTheme="majorEastAsia" w:cstheme="majorBidi"/>
      <w:color w:val="333F50" w:themeColor="text2" w:themeShade="BF"/>
      <w:spacing w:val="5"/>
      <w:kern w:val="28"/>
      <w:sz w:val="52"/>
      <w:szCs w:val="52"/>
    </w:rPr>
  </w:style>
  <w:style w:type="character" w:customStyle="1" w:styleId="145">
    <w:name w:val="Subtitle Char"/>
    <w:basedOn w:val="135"/>
    <w:qFormat/>
    <w:uiPriority w:val="11"/>
    <w:rPr>
      <w:rFonts w:asciiTheme="majorHAnsi" w:hAnsiTheme="majorHAnsi" w:eastAsiaTheme="majorEastAsia" w:cstheme="majorBidi"/>
      <w:i/>
      <w:iCs/>
      <w:color w:val="4874CB"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qFormat/>
    <w:uiPriority w:val="99"/>
  </w:style>
  <w:style w:type="character" w:customStyle="1" w:styleId="148">
    <w:name w:val="Body Text 2 Char"/>
    <w:basedOn w:val="135"/>
    <w:link w:val="31"/>
    <w:qFormat/>
    <w:uiPriority w:val="99"/>
  </w:style>
  <w:style w:type="character" w:customStyle="1" w:styleId="149">
    <w:name w:val="Body Text 3 Char"/>
    <w:basedOn w:val="135"/>
    <w:link w:val="17"/>
    <w:qFormat/>
    <w:uiPriority w:val="99"/>
    <w:rPr>
      <w:sz w:val="16"/>
      <w:szCs w:val="16"/>
    </w:rPr>
  </w:style>
  <w:style w:type="character" w:customStyle="1" w:styleId="150">
    <w:name w:val="Macro Text Char"/>
    <w:basedOn w:val="135"/>
    <w:link w:val="2"/>
    <w:qFormat/>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qFormat/>
    <w:uiPriority w:val="29"/>
    <w:rPr>
      <w:i/>
      <w:iCs/>
      <w:color w:val="000000" w:themeColor="text1"/>
      <w14:textFill>
        <w14:solidFill>
          <w14:schemeClr w14:val="tx1"/>
        </w14:solidFill>
      </w14:textFill>
    </w:rPr>
  </w:style>
  <w:style w:type="character" w:customStyle="1" w:styleId="153">
    <w:name w:val="Heading 4 Char"/>
    <w:basedOn w:val="135"/>
    <w:link w:val="6"/>
    <w:semiHidden/>
    <w:qFormat/>
    <w:uiPriority w:val="9"/>
    <w:rPr>
      <w:rFonts w:ascii="Cambria" w:hAnsi="Cambria" w:eastAsia="黑体" w:cstheme="majorBidi"/>
      <w:b/>
      <w:bCs/>
      <w:kern w:val="2"/>
      <w:sz w:val="28"/>
      <w:szCs w:val="28"/>
    </w:rPr>
  </w:style>
  <w:style w:type="character" w:customStyle="1" w:styleId="154">
    <w:name w:val="Heading 5 Char"/>
    <w:basedOn w:val="135"/>
    <w:link w:val="7"/>
    <w:semiHidden/>
    <w:qFormat/>
    <w:uiPriority w:val="9"/>
    <w:rPr>
      <w:rFonts w:ascii="Cambria" w:hAnsi="Cambria" w:eastAsia="黑体"/>
      <w:b/>
      <w:bCs/>
      <w:kern w:val="2"/>
      <w:sz w:val="28"/>
      <w:szCs w:val="28"/>
    </w:rPr>
  </w:style>
  <w:style w:type="character" w:customStyle="1" w:styleId="155">
    <w:name w:val="Heading 6 Char"/>
    <w:basedOn w:val="135"/>
    <w:link w:val="8"/>
    <w:semiHidden/>
    <w:qFormat/>
    <w:uiPriority w:val="9"/>
    <w:rPr>
      <w:rFonts w:ascii="Cambria" w:hAnsi="Cambria" w:eastAsia="黑体" w:cstheme="majorBidi"/>
      <w:b/>
      <w:bCs/>
      <w:kern w:val="2"/>
      <w:sz w:val="24"/>
      <w:szCs w:val="24"/>
    </w:rPr>
  </w:style>
  <w:style w:type="character" w:customStyle="1" w:styleId="156">
    <w:name w:val="Heading 7 Char"/>
    <w:basedOn w:val="135"/>
    <w:link w:val="9"/>
    <w:semiHidden/>
    <w:qFormat/>
    <w:uiPriority w:val="9"/>
    <w:rPr>
      <w:rFonts w:ascii="Cambria" w:hAnsi="Cambria" w:eastAsia="黑体"/>
      <w:b/>
      <w:bCs/>
      <w:kern w:val="2"/>
      <w:sz w:val="24"/>
      <w:szCs w:val="24"/>
    </w:rPr>
  </w:style>
  <w:style w:type="character" w:customStyle="1" w:styleId="157">
    <w:name w:val="Heading 8 Char"/>
    <w:basedOn w:val="135"/>
    <w:link w:val="10"/>
    <w:semiHidden/>
    <w:qFormat/>
    <w:uiPriority w:val="9"/>
    <w:rPr>
      <w:rFonts w:ascii="Cambria" w:hAnsi="Cambria" w:eastAsia="黑体" w:cstheme="majorBidi"/>
      <w:kern w:val="2"/>
      <w:sz w:val="24"/>
      <w:szCs w:val="24"/>
    </w:rPr>
  </w:style>
  <w:style w:type="character" w:customStyle="1" w:styleId="158">
    <w:name w:val="Heading 9 Char"/>
    <w:basedOn w:val="135"/>
    <w:link w:val="11"/>
    <w:semiHidden/>
    <w:qFormat/>
    <w:uiPriority w:val="9"/>
    <w:rPr>
      <w:rFonts w:ascii="Cambria" w:hAnsi="Cambria" w:eastAsia="黑体" w:cstheme="majorBidi"/>
      <w:kern w:val="2"/>
      <w:sz w:val="21"/>
      <w:szCs w:val="21"/>
    </w:rPr>
  </w:style>
  <w:style w:type="paragraph" w:styleId="159">
    <w:name w:val="Intense Quote"/>
    <w:basedOn w:val="1"/>
    <w:next w:val="1"/>
    <w:link w:val="160"/>
    <w:qFormat/>
    <w:uiPriority w:val="30"/>
    <w:pPr>
      <w:pBdr>
        <w:bottom w:val="single" w:color="4874CB" w:themeColor="accent1" w:sz="4" w:space="4"/>
      </w:pBdr>
      <w:spacing w:before="200" w:after="280"/>
      <w:ind w:left="936" w:right="936"/>
    </w:pPr>
    <w:rPr>
      <w:b/>
      <w:bCs/>
      <w:i/>
      <w:iCs/>
      <w:color w:val="4874CB" w:themeColor="accent1"/>
      <w14:textFill>
        <w14:solidFill>
          <w14:schemeClr w14:val="accent1"/>
        </w14:solidFill>
      </w14:textFill>
    </w:rPr>
  </w:style>
  <w:style w:type="character" w:customStyle="1" w:styleId="160">
    <w:name w:val="Intense Quote Char"/>
    <w:basedOn w:val="135"/>
    <w:link w:val="159"/>
    <w:qFormat/>
    <w:uiPriority w:val="30"/>
    <w:rPr>
      <w:b/>
      <w:bCs/>
      <w:i/>
      <w:iCs/>
      <w:color w:val="4874CB"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874CB" w:themeColor="accent1"/>
      <w14:textFill>
        <w14:solidFill>
          <w14:schemeClr w14:val="accent1"/>
        </w14:solidFill>
      </w14:textFill>
    </w:rPr>
  </w:style>
  <w:style w:type="character" w:customStyle="1" w:styleId="163">
    <w:name w:val="Subtle Reference"/>
    <w:basedOn w:val="135"/>
    <w:qFormat/>
    <w:uiPriority w:val="31"/>
    <w:rPr>
      <w:smallCaps/>
      <w:color w:val="EE822F" w:themeColor="accent2"/>
      <w:u w:val="single"/>
      <w14:textFill>
        <w14:solidFill>
          <w14:schemeClr w14:val="accent2"/>
        </w14:solidFill>
      </w14:textFill>
    </w:rPr>
  </w:style>
  <w:style w:type="character" w:customStyle="1" w:styleId="164">
    <w:name w:val="Intense Reference"/>
    <w:basedOn w:val="135"/>
    <w:qFormat/>
    <w:uiPriority w:val="32"/>
    <w:rPr>
      <w:b/>
      <w:bCs/>
      <w:smallCaps/>
      <w:color w:val="EE822F"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 w:type="character" w:customStyle="1" w:styleId="167">
    <w:name w:val="关键词"/>
    <w:qFormat/>
    <w:uiPriority w:val="0"/>
    <w:rPr>
      <w:rFonts w:ascii="Times New Roman" w:hAnsi="Times New Roman" w:eastAsia="黑体" w:cs="Times New Roman"/>
      <w:b/>
      <w:bCs/>
      <w:spacing w:val="-10"/>
      <w:kern w:val="2"/>
      <w:sz w:val="25"/>
      <w:szCs w:val="25"/>
      <w:lang w:bidi="ar-SA"/>
    </w:rPr>
  </w:style>
  <w:style w:type="paragraph" w:customStyle="1" w:styleId="168">
    <w:name w:val="章标题"/>
    <w:next w:val="1"/>
    <w:qFormat/>
    <w:uiPriority w:val="0"/>
    <w:pPr>
      <w:widowControl w:val="0"/>
      <w:adjustRightInd w:val="0"/>
      <w:spacing w:before="100" w:after="100" w:line="360" w:lineRule="auto"/>
      <w:jc w:val="center"/>
      <w:outlineLvl w:val="0"/>
    </w:pPr>
    <w:rPr>
      <w:rFonts w:ascii="Times New Roman" w:hAnsi="Times New Roman" w:eastAsia="黑体" w:cs="Times New Roman"/>
      <w:kern w:val="44"/>
      <w:sz w:val="36"/>
      <w:szCs w:val="44"/>
      <w:lang w:bidi="ar-SA"/>
    </w:rPr>
  </w:style>
  <w:style w:type="paragraph" w:customStyle="1" w:styleId="169">
    <w:name w:val="附录标题"/>
    <w:next w:val="1"/>
    <w:qFormat/>
    <w:uiPriority w:val="0"/>
    <w:pPr>
      <w:widowControl w:val="0"/>
      <w:adjustRightInd w:val="0"/>
      <w:spacing w:before="181" w:beforeLines="50" w:after="181" w:afterLines="50" w:line="360" w:lineRule="auto"/>
      <w:jc w:val="both"/>
      <w:outlineLvl w:val="0"/>
    </w:pPr>
    <w:rPr>
      <w:rFonts w:ascii="Times New Roman" w:hAnsi="Times New Roman" w:eastAsia="黑体" w:cs="Times New Roman"/>
      <w:color w:val="000000"/>
      <w:kern w:val="44"/>
      <w:sz w:val="36"/>
      <w:szCs w:val="44"/>
      <w:lang w:bidi="ar-SA"/>
    </w:rPr>
  </w:style>
  <w:style w:type="paragraph" w:customStyle="1" w:styleId="170">
    <w:name w:val="文档说明标题"/>
    <w:next w:val="1"/>
    <w:qFormat/>
    <w:uiPriority w:val="0"/>
    <w:pPr>
      <w:widowControl w:val="0"/>
      <w:adjustRightInd w:val="0"/>
      <w:spacing w:before="50" w:beforeLines="50" w:after="50" w:afterLines="50" w:line="360" w:lineRule="auto"/>
      <w:jc w:val="center"/>
      <w:outlineLvl w:val="9"/>
    </w:pPr>
    <w:rPr>
      <w:rFonts w:ascii="Times New Roman" w:hAnsi="Times New Roman" w:eastAsia="黑体" w:cs="Times New Roman"/>
      <w:kern w:val="2"/>
      <w:sz w:val="52"/>
      <w:szCs w:val="52"/>
      <w:lang w:bidi="ar-SA"/>
    </w:rPr>
  </w:style>
  <w:style w:type="paragraph" w:customStyle="1" w:styleId="171">
    <w:name w:val="参考文献条目"/>
    <w:next w:val="1"/>
    <w:qFormat/>
    <w:uiPriority w:val="0"/>
    <w:pPr>
      <w:widowControl w:val="0"/>
      <w:tabs>
        <w:tab w:val="left" w:pos="312"/>
      </w:tabs>
      <w:spacing w:before="124" w:line="480" w:lineRule="exact"/>
      <w:ind w:left="6"/>
      <w:jc w:val="both"/>
      <w:outlineLvl w:val="9"/>
    </w:pPr>
    <w:rPr>
      <w:rFonts w:ascii="Times New Roman" w:hAnsi="Calibri" w:eastAsia="宋体" w:cs="Times New Roman"/>
      <w:sz w:val="24"/>
    </w:rPr>
  </w:style>
  <w:style w:type="paragraph" w:customStyle="1" w:styleId="172">
    <w:name w:val="题注1"/>
    <w:next w:val="1"/>
    <w:qFormat/>
    <w:uiPriority w:val="0"/>
    <w:pPr>
      <w:widowControl w:val="0"/>
      <w:adjustRightInd w:val="0"/>
      <w:spacing w:before="240" w:after="120" w:line="288" w:lineRule="auto"/>
      <w:jc w:val="center"/>
    </w:pPr>
    <w:rPr>
      <w:rFonts w:ascii="Times New Roman" w:hAnsi="Times New Roman" w:eastAsia="宋体" w:cs="宋体"/>
      <w:kern w:val="2"/>
      <w:sz w:val="24"/>
      <w:szCs w:val="22"/>
      <w:lang w:bidi="ar-SA"/>
    </w:rPr>
  </w:style>
  <w:style w:type="paragraph" w:customStyle="1" w:styleId="173">
    <w:name w:val="摘要标题"/>
    <w:next w:val="1"/>
    <w:qFormat/>
    <w:uiPriority w:val="0"/>
    <w:pPr>
      <w:widowControl w:val="0"/>
      <w:spacing w:line="480" w:lineRule="exact"/>
      <w:jc w:val="center"/>
      <w:outlineLvl w:val="0"/>
    </w:pPr>
    <w:rPr>
      <w:rFonts w:ascii="Times New Roman" w:hAnsi="Times New Roman" w:eastAsia="黑体" w:cs="Times New Roman"/>
      <w:kern w:val="2"/>
      <w:sz w:val="28"/>
      <w:szCs w:val="28"/>
      <w:lang w:bidi="ar-SA"/>
    </w:rPr>
  </w:style>
  <w:style w:type="paragraph" w:customStyle="1" w:styleId="174">
    <w:name w:val="摘要正文"/>
    <w:next w:val="1"/>
    <w:qFormat/>
    <w:uiPriority w:val="0"/>
    <w:pPr>
      <w:widowControl w:val="0"/>
      <w:spacing w:line="480" w:lineRule="exact"/>
      <w:ind w:firstLine="480" w:firstLineChars="200"/>
      <w:jc w:val="both"/>
      <w:outlineLvl w:val="9"/>
    </w:pPr>
    <w:rPr>
      <w:rFonts w:ascii="Times New Roman" w:hAnsi="Calibri" w:eastAsia="宋体" w:cs="Times New Roman"/>
      <w:sz w:val="24"/>
    </w:rPr>
  </w:style>
  <w:style w:type="paragraph" w:customStyle="1" w:styleId="175">
    <w:name w:val="关键词正文"/>
    <w:next w:val="1"/>
    <w:qFormat/>
    <w:uiPriority w:val="0"/>
    <w:pPr>
      <w:widowControl w:val="0"/>
      <w:spacing w:line="222" w:lineRule="auto"/>
      <w:ind w:firstLine="231" w:firstLineChars="100"/>
      <w:jc w:val="left"/>
      <w:outlineLvl w:val="9"/>
    </w:pPr>
    <w:rPr>
      <w:rFonts w:ascii="Times New Roman" w:hAnsi="Times New Roman" w:eastAsia="宋体" w:cs="Times New Roman"/>
      <w:spacing w:val="-10"/>
      <w:kern w:val="2"/>
      <w:sz w:val="24"/>
      <w:szCs w:val="24"/>
      <w:lang w:bidi="ar-SA"/>
    </w:rPr>
  </w:style>
  <w:style w:type="paragraph" w:customStyle="1" w:styleId="176">
    <w:name w:val="英文摘要标题"/>
    <w:next w:val="1"/>
    <w:qFormat/>
    <w:uiPriority w:val="0"/>
    <w:pPr>
      <w:widowControl w:val="0"/>
      <w:spacing w:before="240" w:after="181" w:afterLines="50" w:line="188" w:lineRule="auto"/>
      <w:ind w:left="3279"/>
      <w:jc w:val="both"/>
      <w:outlineLvl w:val="0"/>
    </w:pPr>
    <w:rPr>
      <w:rFonts w:ascii="Times New Roman" w:hAnsi="Times New Roman" w:eastAsia="Times New Roman" w:cs="Times New Roman"/>
      <w:b/>
      <w:bCs/>
      <w:spacing w:val="-9"/>
      <w:kern w:val="2"/>
      <w:sz w:val="34"/>
      <w:szCs w:val="34"/>
      <w:lang w:bidi="ar-SA"/>
    </w:rPr>
  </w:style>
  <w:style w:type="paragraph" w:customStyle="1" w:styleId="177">
    <w:name w:val="英文摘要正文"/>
    <w:next w:val="1"/>
    <w:qFormat/>
    <w:uiPriority w:val="0"/>
    <w:pPr>
      <w:widowControl w:val="0"/>
      <w:spacing w:line="480" w:lineRule="exact"/>
      <w:ind w:firstLine="480" w:firstLineChars="200"/>
      <w:jc w:val="both"/>
      <w:outlineLvl w:val="9"/>
    </w:pPr>
    <w:rPr>
      <w:rFonts w:ascii="Times New Roman" w:hAnsi="Calibri" w:eastAsia="宋体" w:cs="Times New Roman"/>
      <w:sz w:val="24"/>
    </w:rPr>
  </w:style>
  <w:style w:type="paragraph" w:customStyle="1" w:styleId="178">
    <w:name w:val="英文关键词正文"/>
    <w:next w:val="1"/>
    <w:qFormat/>
    <w:uiPriority w:val="0"/>
    <w:pPr>
      <w:widowControl w:val="0"/>
      <w:spacing w:line="480" w:lineRule="exact"/>
      <w:ind w:firstLine="482" w:firstLineChars="200"/>
      <w:jc w:val="both"/>
      <w:outlineLvl w:val="9"/>
    </w:pPr>
    <w:rPr>
      <w:rFonts w:ascii="Times New Roman" w:hAnsi="Times New Roman" w:eastAsia="宋体" w:cs="Times New Roman"/>
      <w:kern w:val="2"/>
      <w:sz w:val="24"/>
      <w:szCs w:val="24"/>
      <w:lang w:bidi="ar-SA"/>
    </w:rPr>
  </w:style>
  <w:style w:type="character" w:customStyle="1" w:styleId="179">
    <w:name w:val="英文关键词"/>
    <w:qFormat/>
    <w:uiPriority w:val="0"/>
    <w:rPr>
      <w:rFonts w:ascii="Times New Roman" w:hAnsi="Times New Roman" w:eastAsia="方正小标宋简体" w:cs="Times New Roman"/>
      <w:b/>
      <w:bCs/>
      <w:kern w:val="2"/>
      <w:sz w:val="24"/>
      <w:szCs w:val="24"/>
      <w:lang w:bidi="ar-SA"/>
    </w:rPr>
  </w:style>
  <w:style w:type="paragraph" w:customStyle="1" w:styleId="180">
    <w:name w:val="目录标题"/>
    <w:next w:val="1"/>
    <w:qFormat/>
    <w:uiPriority w:val="0"/>
    <w:pPr>
      <w:widowControl w:val="0"/>
      <w:spacing w:line="480" w:lineRule="exact"/>
      <w:jc w:val="center"/>
      <w:outlineLvl w:val="9"/>
    </w:pPr>
    <w:rPr>
      <w:rFonts w:ascii="Times New Roman" w:hAnsi="Times New Roman" w:eastAsia="黑体" w:cs="Times New Roman"/>
      <w:kern w:val="2"/>
      <w:sz w:val="28"/>
      <w:szCs w:val="28"/>
      <w:lang w:bidi="ar-SA"/>
    </w:rPr>
  </w:style>
  <w:style w:type="paragraph" w:customStyle="1" w:styleId="181">
    <w:name w:val="致谢正文"/>
    <w:next w:val="1"/>
    <w:qFormat/>
    <w:uiPriority w:val="0"/>
    <w:pPr>
      <w:widowControl w:val="0"/>
      <w:spacing w:before="124" w:line="480" w:lineRule="exact"/>
      <w:ind w:firstLine="468" w:firstLineChars="200"/>
      <w:jc w:val="both"/>
      <w:outlineLvl w:val="9"/>
    </w:pPr>
    <w:rPr>
      <w:rFonts w:ascii="Times New Roman" w:hAnsi="Calibri" w:eastAsia="宋体" w:cs="Times New Roman"/>
      <w:spacing w:val="-3"/>
      <w:sz w:val="24"/>
    </w:rPr>
  </w:style>
  <w:style w:type="paragraph" w:customStyle="1" w:styleId="182">
    <w:name w:val="致谢标题"/>
    <w:next w:val="1"/>
    <w:qFormat/>
    <w:uiPriority w:val="0"/>
    <w:pPr>
      <w:keepNext/>
      <w:keepLines/>
      <w:pageBreakBefore w:val="0"/>
      <w:widowControl w:val="0"/>
      <w:kinsoku/>
      <w:wordWrap/>
      <w:overflowPunct/>
      <w:topLinePunct w:val="0"/>
      <w:autoSpaceDE/>
      <w:autoSpaceDN/>
      <w:bidi w:val="0"/>
      <w:adjustRightInd/>
      <w:spacing w:before="340" w:after="330" w:line="480" w:lineRule="exact"/>
      <w:ind w:leftChars="0"/>
      <w:jc w:val="center"/>
      <w:textAlignment w:val="auto"/>
      <w:outlineLvl w:val="0"/>
    </w:pPr>
    <w:rPr>
      <w:rFonts w:ascii="Times New Roman" w:hAnsi="Times New Roman" w:eastAsia="黑体" w:cs="Times New Roman"/>
      <w:bCs/>
      <w:kern w:val="44"/>
      <w:sz w:val="28"/>
      <w:szCs w:val="28"/>
      <w:lang w:bidi="ar-SA"/>
    </w:rPr>
  </w:style>
  <w:style w:type="paragraph" w:customStyle="1" w:styleId="183">
    <w:name w:val="参考文献标题"/>
    <w:next w:val="1"/>
    <w:qFormat/>
    <w:uiPriority w:val="0"/>
    <w:pPr>
      <w:keepNext/>
      <w:keepLines/>
      <w:pageBreakBefore w:val="0"/>
      <w:widowControl w:val="0"/>
      <w:kinsoku/>
      <w:wordWrap/>
      <w:overflowPunct/>
      <w:topLinePunct w:val="0"/>
      <w:autoSpaceDE/>
      <w:autoSpaceDN/>
      <w:bidi w:val="0"/>
      <w:adjustRightInd/>
      <w:spacing w:before="340" w:after="330" w:line="480" w:lineRule="exact"/>
      <w:ind w:leftChars="0"/>
      <w:jc w:val="both"/>
      <w:textAlignment w:val="auto"/>
      <w:outlineLvl w:val="0"/>
    </w:pPr>
    <w:rPr>
      <w:rFonts w:ascii="Times New Roman" w:hAnsi="Times New Roman" w:eastAsia="黑体" w:cs="Times New Roman"/>
      <w:bCs/>
      <w:kern w:val="44"/>
      <w:sz w:val="28"/>
      <w:szCs w:val="28"/>
      <w:lang w:bidi="ar-SA"/>
    </w:rPr>
  </w:style>
  <w:style w:type="paragraph" w:customStyle="1" w:styleId="184">
    <w:name w:val="表格标题"/>
    <w:next w:val="1"/>
    <w:qFormat/>
    <w:uiPriority w:val="0"/>
    <w:pPr>
      <w:widowControl w:val="0"/>
      <w:spacing w:line="480" w:lineRule="exact"/>
      <w:jc w:val="center"/>
      <w:outlineLvl w:val="9"/>
    </w:pPr>
    <w:rPr>
      <w:rFonts w:ascii="Times New Roman" w:hAnsi="Times New Roman" w:eastAsia="宋体" w:cs="Times New Roman"/>
      <w:kern w:val="2"/>
      <w:sz w:val="24"/>
      <w:szCs w:val="24"/>
      <w:lang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7416</Words>
  <Characters>10124</Characters>
  <Lines>1</Lines>
  <Paragraphs>1</Paragraphs>
  <TotalTime>11</TotalTime>
  <ScaleCrop>false</ScaleCrop>
  <LinksUpToDate>false</LinksUpToDate>
  <CharactersWithSpaces>10568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枫梓</cp:lastModifiedBy>
  <dcterms:modified xsi:type="dcterms:W3CDTF">2026-04-01T03:59:11Z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eyJoZGlkIjoiOGJmMDA2NGQyMzZlNjM5MzA0YmFjNTc5NjdkZmMxODQiLCJ1c2VySWQiOiIxNTE5NzM1OTg1In0=</vt:lpwstr>
  </property>
  <property fmtid="{D5CDD505-2E9C-101B-9397-08002B2CF9AE}" pid="3" name="KSOProductBuildVer">
    <vt:lpwstr>2052-12.1.0.25225</vt:lpwstr>
  </property>
  <property fmtid="{D5CDD505-2E9C-101B-9397-08002B2CF9AE}" pid="4" name="ICV">
    <vt:lpwstr>2ACB893CD1B14BFBAFB59FAA03E40E1E_12</vt:lpwstr>
  </property>
</Properties>
</file>