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 de Octubre de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base de datos PostgreSQL en la nube (Neon DB) quedó conectada e integrada exitosamente con la plataforma web (02-10-2026).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motor de carga automática (scraper) operó con éxito, ingectando 444 remates reales en el catálogo sin duplicados (03-10-2026).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Integración fluida de los endpoints REST para autenticación JWT, publicaciones, registro de vistas y carga de fotografías.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lógica de cálculo del semáforo legal exigió múltiples ajustes por inconsistencias en la estructura de los datos extraídos.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Ausencia de pruebas unitarias y de integración automatizadas sobre los endpoints de la API.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Construir una suite de pruebas automatizadas con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pytest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httpx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 para la API REST.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Centralizar la lógica del semáforo en un servicio independiente para facilitar modificaciones sin alterar tablas de la base de datos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Mantener actualizada la documentación OpenAPI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/docs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) a la par con el desarrollo de endpoints.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m1zP4zSWCBPyHB5PBx0C7/D7w==">CgMxLjA4AHIhMTNzd3Q0d1Ixb3ZLZHhrVFNST3VyOVh3UTVpZ0FtUkJ0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