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Proposition technique de faisabilité – Route Nationale n°5 (RN5), tronçon Uvira – Kalemie</w:t>
      </w:r>
    </w:p>
    <w:p>
      <w:pPr/>
      <w:r>
        <w:rPr>
          <w:b/>
        </w:rPr>
        <w:t xml:space="preserve">Partenariat Public-Privé stratégique proposé par le Groupe EIS-EKA</w:t>
      </w:r>
    </w:p>
    <w:p>
      <w:pPr/>
      <w:r>
        <w:t xml:space="preserve">Oct 7, 2026</w:t>
      </w:r>
      <w:r>
        <w:t xml:space="preserve"> · </w:t>
      </w:r>
      <w:r>
        <w:t xml:space="preserve">@Elysee</w:t>
      </w:r>
    </w:p>
    <w:p>
      <w:pPr>
        <w:pStyle w:val="Heading2"/>
      </w:pPr>
      <w:r>
        <w:t xml:space="preserve">Lettre de transmission</w:t>
      </w:r>
    </w:p>
    <w:p>
      <w:pPr/>
      <w:r>
        <w:rPr>
          <w:b/>
        </w:rPr>
        <w:t xml:space="preserve">Groupe EIS-EKA</w:t>
      </w:r>
      <w:r>
        <w:t xml:space="preserve"> — [adresse du siège], [RCCM / Id. Nat.], [téléphone], [e-mail]</w:t>
      </w:r>
    </w:p>
    <w:p>
      <w:pPr/>
      <w:r>
        <w:t xml:space="preserve">Kinshasa, le [date]</w:t>
      </w:r>
    </w:p>
    <w:p>
      <w:pPr/>
      <w:r>
        <w:t xml:space="preserve">À Son Excellence Monsieur le Ministre des Infrastructures et Travaux Publics République Démocratique du Congo — Kinshasa/Gombe</w:t>
      </w:r>
    </w:p>
    <w:p>
      <w:pPr/>
      <w:r>
        <w:rPr>
          <w:b/>
        </w:rPr>
        <w:t xml:space="preserve">Objet : Transmission de la proposition technique de faisabilité pour la réhabilitation, la modernisation et l'entretien de la RN5, tronçon Uvira – Kalemie, en Partenariat Public-Privé</w:t>
      </w:r>
    </w:p>
    <w:p>
      <w:pPr/>
      <w:r>
        <w:t xml:space="preserve">Excellence Monsieur le Ministre,</w:t>
      </w:r>
    </w:p>
    <w:p>
      <w:pPr/>
      <w:r>
        <w:t xml:space="preserve">Suite à l'accueil favorable que vous avez bien voulu réserver à notre intention de partenariat, le Groupe EIS-EKA a l'honneur de vous transmettre sa proposition technique de faisabilité pour le tronçon Uvira – Kalemie de la Route Nationale n°5.</w:t>
      </w:r>
    </w:p>
    <w:p>
      <w:pPr/>
      <w:r>
        <w:t xml:space="preserve">Nous proposons de concevoir, financer, construire, exploiter et entretenir ce tronçon dans le cadre d'un contrat de PPP conforme à la Loi n°18/016 du 9 juillet 2018 relative aux partenariats public-privé. Le présent document en expose la faisabilité technique, le montage contractuel et financier envisagé, ainsi que les prochaines étapes.</w:t>
      </w:r>
    </w:p>
    <w:p>
      <w:pPr/>
      <w:r>
        <w:t xml:space="preserve">Nous sollicitons votre autorisation pour engager, à nos frais, les études de faisabilité détaillées et la négociation d'un Protocole d'Accord avec le Ministère.</w:t>
      </w:r>
    </w:p>
    <w:p>
      <w:pPr/>
      <w:r>
        <w:t xml:space="preserve">Nous restons à votre disposition pour une présentation devant vos services et vous prions d'agréer, Excellence Monsieur le Ministre, l'expression de notre très haute considération.</w:t>
      </w:r>
    </w:p>
    <w:p>
      <w:pPr/>
      <w:r>
        <w:t xml:space="preserve">[Nom et titre du signataire] Directeur Général, Groupe EIS-EKA [Signature et cachet]</w:t>
      </w:r>
    </w:p>
    <w:p>
      <w:pPr/>
      <w:r>
        <w:rPr>
          <w:i/>
        </w:rPr>
        <w:t xml:space="preserve">Copies : Ministre du Plan ; Ministre des Finances ; Directeur Général de l'Office des Routes ; Gouverneurs du Sud-Kivu et du Tanganyika.</w:t>
      </w:r>
    </w:p>
    <w:p>
      <w:pPr>
        <w:pStyle w:val="Heading2"/>
      </w:pPr>
      <w:r>
        <w:t xml:space="preserve">1. Résumé exécutif</w:t>
      </w:r>
    </w:p>
    <w:p>
      <w:pPr/>
      <w:r>
        <w:t xml:space="preserve">Le Groupe EIS-EKA propose de transformer le tronçon Uvira – Kalemie de la RN5 (environ 400 à 450 km, longueur exacte à confirmer par levés) en une route bitumée praticable toute l'année, sous un contrat PPP de type Concevoir-Financer-Construire-Exploiter-Entretenir (DBFOM) de 30 ans, rémunéré principalement par le péage.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Élément</w:t>
            </w:r>
          </w:p>
        </w:tc>
        <w:tc>
          <w:tcPr>
            <w:tcW w:w="4680" w:type="dxa"/>
            <w:shd w:val="clear" w:color="auto" w:fill="F2F2F2"/>
          </w:tcPr>
          <w:p>
            <w:pPr/>
            <w:r>
              <w:t xml:space="preserve">Proposition</w:t>
            </w:r>
          </w:p>
        </w:tc>
      </w:tr>
      <w:tr>
        <w:tc>
          <w:tcPr>
            <w:tcW w:w="4680" w:type="dxa"/>
          </w:tcPr>
          <w:p>
            <w:pPr/>
            <w:r>
              <w:t xml:space="preserve">Ouvrage</w:t>
            </w:r>
          </w:p>
        </w:tc>
        <w:tc>
          <w:tcPr>
            <w:tcW w:w="4680" w:type="dxa"/>
          </w:tcPr>
          <w:p>
            <w:pPr/>
            <w:r>
              <w:t xml:space="preserve">RN5 Uvira (Sud-Kivu) – Kalemie (Tanganyika), route bitumée 2 voies, 7 m de chaussée</w:t>
            </w:r>
          </w:p>
        </w:tc>
      </w:tr>
      <w:tr>
        <w:tc>
          <w:tcPr>
            <w:tcW w:w="4680" w:type="dxa"/>
          </w:tcPr>
          <w:p>
            <w:pPr/>
            <w:r>
              <w:t xml:space="preserve">Modèle PPP</w:t>
            </w:r>
          </w:p>
        </w:tc>
        <w:tc>
          <w:tcPr>
            <w:tcW w:w="4680" w:type="dxa"/>
          </w:tcPr>
          <w:p>
            <w:pPr/>
            <w:r>
              <w:t xml:space="preserve">Concession DBFOM à péage, 30 ans dont 4 ans de construction</w:t>
            </w:r>
          </w:p>
        </w:tc>
      </w:tr>
      <w:tr>
        <w:tc>
          <w:tcPr>
            <w:tcW w:w="4680" w:type="dxa"/>
          </w:tcPr>
          <w:p>
            <w:pPr/>
            <w:r>
              <w:t xml:space="preserve">Coût d'investissement indicatif</w:t>
            </w:r>
          </w:p>
        </w:tc>
        <w:tc>
          <w:tcPr>
            <w:tcW w:w="4680" w:type="dxa"/>
          </w:tcPr>
          <w:p>
            <w:pPr/>
            <w:r>
              <w:t xml:space="preserve">480 à 650 millions USD (±30 %, à affiner par l'APD)</w:t>
            </w:r>
          </w:p>
        </w:tc>
      </w:tr>
      <w:tr>
        <w:tc>
          <w:tcPr>
            <w:tcW w:w="4680" w:type="dxa"/>
          </w:tcPr>
          <w:p>
            <w:pPr/>
            <w:r>
              <w:t xml:space="preserve">Rémunération du partenaire</w:t>
            </w:r>
          </w:p>
        </w:tc>
        <w:tc>
          <w:tcPr>
            <w:tcW w:w="4680" w:type="dxa"/>
          </w:tcPr>
          <w:p>
            <w:pPr/>
            <w:r>
              <w:t xml:space="preserve">Péage payé par les usagers (surtout poids lourds) + revenus annexes, avec garantie de recettes minimales de l'État</w:t>
            </w:r>
          </w:p>
        </w:tc>
      </w:tr>
      <w:tr>
        <w:tc>
          <w:tcPr>
            <w:tcW w:w="4680" w:type="dxa"/>
          </w:tcPr>
          <w:p>
            <w:pPr/>
            <w:r>
              <w:t xml:space="preserve">Financement</w:t>
            </w:r>
          </w:p>
        </w:tc>
        <w:tc>
          <w:tcPr>
            <w:tcW w:w="4680" w:type="dxa"/>
          </w:tcPr>
          <w:p>
            <w:pPr/>
            <w:r>
              <w:t xml:space="preserve">20 à 25 % fonds propres, 75 à 80 % dette auprès d'institutions de financement du développement</w:t>
            </w:r>
          </w:p>
        </w:tc>
      </w:tr>
      <w:tr>
        <w:tc>
          <w:tcPr>
            <w:tcW w:w="4680" w:type="dxa"/>
          </w:tcPr>
          <w:p>
            <w:pPr/>
            <w:r>
              <w:t xml:space="preserve">Phasage</w:t>
            </w:r>
          </w:p>
        </w:tc>
        <w:tc>
          <w:tcPr>
            <w:tcW w:w="4680" w:type="dxa"/>
          </w:tcPr>
          <w:p>
            <w:pPr/>
            <w:r>
              <w:t xml:space="preserve">3 lots, en commençant par Uvira – Baraka</w:t>
            </w:r>
          </w:p>
        </w:tc>
      </w:tr>
      <w:tr>
        <w:tc>
          <w:tcPr>
            <w:tcW w:w="4680" w:type="dxa"/>
          </w:tcPr>
          <w:p>
            <w:pPr/>
            <w:r>
              <w:t xml:space="preserve">Mise en service complète</w:t>
            </w:r>
          </w:p>
        </w:tc>
        <w:tc>
          <w:tcPr>
            <w:tcW w:w="4680" w:type="dxa"/>
          </w:tcPr>
          <w:p>
            <w:pPr/>
            <w:r>
              <w:t xml:space="preserve">48 mois après le bouclage financier (objectif)</w:t>
            </w:r>
          </w:p>
        </w:tc>
      </w:tr>
      <w:tr>
        <w:tc>
          <w:tcPr>
            <w:tcW w:w="4680" w:type="dxa"/>
          </w:tcPr>
          <w:p>
            <w:pPr/>
            <w:r>
              <w:t xml:space="preserve">Première demande au Ministère</w:t>
            </w:r>
          </w:p>
        </w:tc>
        <w:tc>
          <w:tcPr>
            <w:tcW w:w="4680" w:type="dxa"/>
          </w:tcPr>
          <w:p>
            <w:pPr/>
            <w:r>
              <w:t xml:space="preserve">Signature d'un Protocole d'Accord et autorisation des études détaillées</w:t>
            </w:r>
          </w:p>
        </w:tc>
      </w:tr>
    </w:tbl>
    <w:p>
      <w:pPr/>
      <w:r>
        <w:t xml:space="preserve">Le projet désenclave deux provinces, relie le Sud-Kivu au port de Kalemie et au chemin de fer, et ouvre un corridor régional vers le Burundi, la Tanzanie et la Zambie. Les chiffres de ce document sont des ordres de grandeur basés sur des coûts unitaires régionaux ; ils seront consolidés par les études détaillées.</w:t>
      </w:r>
    </w:p>
    <w:p>
      <w:pPr>
        <w:pStyle w:val="Heading2"/>
      </w:pPr>
      <w:r>
        <w:t xml:space="preserve">2. Contexte et justification</w:t>
      </w:r>
    </w:p>
    <w:p>
      <w:pPr/>
      <w:r>
        <w:t xml:space="preserve">La RN5 longe la rive occidentale du lac Tanganyika ; son tronçon Uvira – Kalemie est aujourd'hui le maillon le plus dégradé entre le Kivu et le Katanga. Sa remise en état répond à quatre enjeux.</w:t>
      </w:r>
    </w:p>
    <w:p>
      <w:pPr>
        <w:pStyle w:val="ListParagraph"/>
        <w:numPr>
          <w:ilvl w:val="0"/>
          <w:numId w:val="2"/>
        </w:numPr>
      </w:pPr>
      <w:r>
        <w:rPr>
          <w:b/>
        </w:rPr>
        <w:t xml:space="preserve">Désenclavement intérieur.</w:t>
      </w:r>
      <w:r>
        <w:t xml:space="preserve"> Les territoires d'Uvira, de Fizi et de Kalemie dépendent du lac et de pistes impraticables en saison des pluies. Les prix des produits de base y sont élevés et les produits agricoles se perdent faute d'évacuation.</w:t>
      </w:r>
    </w:p>
    <w:p>
      <w:pPr>
        <w:pStyle w:val="ListParagraph"/>
        <w:numPr>
          <w:ilvl w:val="0"/>
          <w:numId w:val="2"/>
        </w:numPr>
      </w:pPr>
      <w:r>
        <w:rPr>
          <w:b/>
        </w:rPr>
        <w:t xml:space="preserve">Intégration nationale.</w:t>
      </w:r>
      <w:r>
        <w:t xml:space="preserve"> Le tronçon relie le Sud-Kivu au Tanganyika, puis au Haut-Katanga par la suite de la RN5. Il rapproche l'Est du pays des réseaux ferroviaires et portuaires nationaux.</w:t>
      </w:r>
    </w:p>
    <w:p>
      <w:pPr>
        <w:pStyle w:val="ListParagraph"/>
        <w:numPr>
          <w:ilvl w:val="0"/>
          <w:numId w:val="2"/>
        </w:numPr>
      </w:pPr>
      <w:r>
        <w:rPr>
          <w:b/>
        </w:rPr>
        <w:t xml:space="preserve">Corridor régional.</w:t>
      </w:r>
      <w:r>
        <w:t xml:space="preserve"> Uvira est à quelques kilomètres de Bujumbura ; Kalemie est reliée par le lac à Kigoma (Tanzanie) et au Corridor Central vers Dar es Salaam. La route renforce la position de la RDC dans les échanges de la Communauté d'Afrique de l'Est.</w:t>
      </w:r>
    </w:p>
    <w:p>
      <w:pPr>
        <w:pStyle w:val="ListParagraph"/>
        <w:numPr>
          <w:ilvl w:val="0"/>
          <w:numId w:val="2"/>
        </w:numPr>
      </w:pPr>
      <w:r>
        <w:rPr>
          <w:b/>
        </w:rPr>
        <w:t xml:space="preserve">Stabilisation et présence de l'État.</w:t>
      </w:r>
      <w:r>
        <w:t xml:space="preserve"> Une route permanente facilite le déploiement des services publics, de la sécurité et de l'aide humanitaire dans une zone marquée par l'insécurité.</w:t>
      </w:r>
    </w:p>
    <w:p>
      <w:pPr/>
      <w:r>
        <w:t xml:space="preserve">Le recours au PPP permet de réaliser l'ouvrage sans attendre la disponibilité complète des ressources budgétaires, tout en transférant au partenaire privé les risques de construction et l'obligation d'entretien sur toute la durée du contrat.</w:t>
      </w:r>
    </w:p>
    <w:p>
      <w:pPr>
        <w:pStyle w:val="Heading2"/>
      </w:pPr>
      <w:r>
        <w:t xml:space="preserve">3. Description du tronçon et diagnostic</w:t>
      </w:r>
    </w:p>
    <w:p>
      <w:pPr/>
      <w:r>
        <w:t xml:space="preserve">Le tronçon part d'Uvira, longe le lac par Makobola, Swima et Baraka (territoire de Fizi), puis descend vers Kalemie à travers le nord de la province du Tanganyika. Le découpage ci-dessous est provisoire ; les longueurs seront fixées par les levés topographiques.</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Lot</w:t>
            </w:r>
          </w:p>
        </w:tc>
        <w:tc>
          <w:tcPr>
            <w:tcW w:w="1872" w:type="dxa"/>
            <w:shd w:val="clear" w:color="auto" w:fill="F2F2F2"/>
          </w:tcPr>
          <w:p>
            <w:pPr/>
            <w:r>
              <w:t xml:space="preserve">Section</w:t>
            </w:r>
          </w:p>
        </w:tc>
        <w:tc>
          <w:tcPr>
            <w:tcW w:w="1872" w:type="dxa"/>
            <w:shd w:val="clear" w:color="auto" w:fill="F2F2F2"/>
          </w:tcPr>
          <w:p>
            <w:pPr/>
            <w:r>
              <w:t xml:space="preserve">Province</w:t>
            </w:r>
          </w:p>
        </w:tc>
        <w:tc>
          <w:tcPr>
            <w:tcW w:w="1872" w:type="dxa"/>
            <w:shd w:val="clear" w:color="auto" w:fill="F2F2F2"/>
          </w:tcPr>
          <w:p>
            <w:pPr/>
            <w:r>
              <w:t xml:space="preserve">Longueur estimée</w:t>
            </w:r>
          </w:p>
        </w:tc>
        <w:tc>
          <w:tcPr>
            <w:tcW w:w="1872" w:type="dxa"/>
            <w:shd w:val="clear" w:color="auto" w:fill="F2F2F2"/>
          </w:tcPr>
          <w:p>
            <w:pPr/>
            <w:r>
              <w:t xml:space="preserve">État observé / supposé</w:t>
            </w:r>
          </w:p>
        </w:tc>
      </w:tr>
      <w:tr>
        <w:tc>
          <w:tcPr>
            <w:tcW w:w="1872" w:type="dxa"/>
          </w:tcPr>
          <w:p>
            <w:pPr/>
            <w:r>
              <w:t xml:space="preserve">1</w:t>
            </w:r>
          </w:p>
        </w:tc>
        <w:tc>
          <w:tcPr>
            <w:tcW w:w="1872" w:type="dxa"/>
          </w:tcPr>
          <w:p>
            <w:pPr/>
            <w:r>
              <w:t xml:space="preserve">Uvira – Baraka</w:t>
            </w:r>
          </w:p>
        </w:tc>
        <w:tc>
          <w:tcPr>
            <w:tcW w:w="1872" w:type="dxa"/>
          </w:tcPr>
          <w:p>
            <w:pPr/>
            <w:r>
              <w:t xml:space="preserve">Sud-Kivu</w:t>
            </w:r>
          </w:p>
        </w:tc>
        <w:tc>
          <w:tcPr>
            <w:tcW w:w="1872" w:type="dxa"/>
          </w:tcPr>
          <w:p>
            <w:pPr/>
            <w:r>
              <w:t xml:space="preserve">≈ 100 km</w:t>
            </w:r>
          </w:p>
        </w:tc>
        <w:tc>
          <w:tcPr>
            <w:tcW w:w="1872" w:type="dxa"/>
          </w:tcPr>
          <w:p>
            <w:pPr/>
            <w:r>
              <w:t xml:space="preserve">Route en terre ou ancien revêtement très dégradé, trafic local dense</w:t>
            </w:r>
          </w:p>
        </w:tc>
      </w:tr>
      <w:tr>
        <w:tc>
          <w:tcPr>
            <w:tcW w:w="1872" w:type="dxa"/>
          </w:tcPr>
          <w:p>
            <w:pPr/>
            <w:r>
              <w:t xml:space="preserve">2</w:t>
            </w:r>
          </w:p>
        </w:tc>
        <w:tc>
          <w:tcPr>
            <w:tcW w:w="1872" w:type="dxa"/>
          </w:tcPr>
          <w:p>
            <w:pPr/>
            <w:r>
              <w:t xml:space="preserve">Baraka – limite Sud-Kivu/Tanganyika</w:t>
            </w:r>
          </w:p>
        </w:tc>
        <w:tc>
          <w:tcPr>
            <w:tcW w:w="1872" w:type="dxa"/>
          </w:tcPr>
          <w:p>
            <w:pPr/>
            <w:r>
              <w:t xml:space="preserve">Sud-Kivu</w:t>
            </w:r>
          </w:p>
        </w:tc>
        <w:tc>
          <w:tcPr>
            <w:tcW w:w="1872" w:type="dxa"/>
          </w:tcPr>
          <w:p>
            <w:pPr/>
            <w:r>
              <w:t xml:space="preserve">≈ 120 km</w:t>
            </w:r>
          </w:p>
        </w:tc>
        <w:tc>
          <w:tcPr>
            <w:tcW w:w="1872" w:type="dxa"/>
          </w:tcPr>
          <w:p>
            <w:pPr/>
            <w:r>
              <w:t xml:space="preserve">Piste dégradée, zones d'érosion et de glissements le long des escarpements</w:t>
            </w:r>
          </w:p>
        </w:tc>
      </w:tr>
      <w:tr>
        <w:tc>
          <w:tcPr>
            <w:tcW w:w="1872" w:type="dxa"/>
          </w:tcPr>
          <w:p>
            <w:pPr/>
            <w:r>
              <w:t xml:space="preserve">3</w:t>
            </w:r>
          </w:p>
        </w:tc>
        <w:tc>
          <w:tcPr>
            <w:tcW w:w="1872" w:type="dxa"/>
          </w:tcPr>
          <w:p>
            <w:pPr/>
            <w:r>
              <w:t xml:space="preserve">Limite provinciale – Kalemie</w:t>
            </w:r>
          </w:p>
        </w:tc>
        <w:tc>
          <w:tcPr>
            <w:tcW w:w="1872" w:type="dxa"/>
          </w:tcPr>
          <w:p>
            <w:pPr/>
            <w:r>
              <w:t xml:space="preserve">Tanganyika</w:t>
            </w:r>
          </w:p>
        </w:tc>
        <w:tc>
          <w:tcPr>
            <w:tcW w:w="1872" w:type="dxa"/>
          </w:tcPr>
          <w:p>
            <w:pPr/>
            <w:r>
              <w:t xml:space="preserve">≈ 200 km</w:t>
            </w:r>
          </w:p>
        </w:tc>
        <w:tc>
          <w:tcPr>
            <w:tcW w:w="1872" w:type="dxa"/>
          </w:tcPr>
          <w:p>
            <w:pPr/>
            <w:r>
              <w:t xml:space="preserve">Piste souvent coupée en saison des pluies, ouvrages de franchissement à reconstruire</w:t>
            </w:r>
          </w:p>
        </w:tc>
      </w:tr>
    </w:tbl>
    <w:p>
      <w:pPr/>
      <w:r>
        <w:rPr>
          <w:b/>
        </w:rPr>
        <w:t xml:space="preserve">Principales contraintes identifiées</w:t>
      </w:r>
    </w:p>
    <w:p>
      <w:pPr>
        <w:pStyle w:val="ListParagraph"/>
        <w:numPr>
          <w:ilvl w:val="0"/>
          <w:numId w:val="3"/>
        </w:numPr>
      </w:pPr>
      <w:r>
        <w:t xml:space="preserve">Relief : alternance de plaine côtière et de pentes raides entre le lac et les monts Mitumba.</w:t>
      </w:r>
    </w:p>
    <w:p>
      <w:pPr>
        <w:pStyle w:val="ListParagraph"/>
        <w:numPr>
          <w:ilvl w:val="0"/>
          <w:numId w:val="3"/>
        </w:numPr>
      </w:pPr>
      <w:r>
        <w:t xml:space="preserve">Hydrologie : nombreuses rivières descendant vers le lac, crues soudaines, ponts et dalots détruits ou sous-dimensionnés.</w:t>
      </w:r>
    </w:p>
    <w:p>
      <w:pPr>
        <w:pStyle w:val="ListParagraph"/>
        <w:numPr>
          <w:ilvl w:val="0"/>
          <w:numId w:val="3"/>
        </w:numPr>
      </w:pPr>
      <w:r>
        <w:t xml:space="preserve">Géotechnique : sols argileux et latéritiques sensibles à l'eau, risque de glissements sur les talus.</w:t>
      </w:r>
    </w:p>
    <w:p>
      <w:pPr>
        <w:pStyle w:val="ListParagraph"/>
        <w:numPr>
          <w:ilvl w:val="0"/>
          <w:numId w:val="3"/>
        </w:numPr>
      </w:pPr>
      <w:r>
        <w:t xml:space="preserve">Climat : deux saisons de pluies, avec forte pluviométrie entre octobre et mai.</w:t>
      </w:r>
    </w:p>
    <w:p>
      <w:pPr>
        <w:pStyle w:val="ListParagraph"/>
        <w:numPr>
          <w:ilvl w:val="0"/>
          <w:numId w:val="3"/>
        </w:numPr>
      </w:pPr>
      <w:r>
        <w:t xml:space="preserve">Sécurité : présence de groupes armés dans certaines zones des territoires d'Uvira et de Fizi.</w:t>
      </w:r>
    </w:p>
    <w:p>
      <w:pPr>
        <w:pStyle w:val="ListParagraph"/>
        <w:numPr>
          <w:ilvl w:val="0"/>
          <w:numId w:val="3"/>
        </w:numPr>
      </w:pPr>
      <w:r>
        <w:t xml:space="preserve">Accès logistique : approvisionnement en ciment, bitume et équipements par Bujumbura, Kalemie (lac et rail) ou Bukavu.</w:t>
      </w:r>
    </w:p>
    <w:p>
      <w:pPr/>
      <w:r>
        <w:rPr>
          <w:b/>
        </w:rPr>
        <w:t xml:space="preserve">Données à collecter en priorité</w:t>
      </w:r>
      <w:r>
        <w:t xml:space="preserve"> : comptages de trafic, inventaire des ouvrages d'art, sondages de sols, carrières et gisements de matériaux, emprises et occupations.</w:t>
      </w:r>
    </w:p>
    <w:p>
      <w:pPr>
        <w:pStyle w:val="Heading2"/>
      </w:pPr>
      <w:r>
        <w:t xml:space="preserve">4. Solution technique proposée</w:t>
      </w:r>
    </w:p>
    <w:p>
      <w:pPr/>
      <w:r>
        <w:t xml:space="preserve">Nous proposons une route bitumée à deux voies, dimensionnée pour 20 ans de trafic, avec un drainage renforcé adapté à la forte pluviométrie.</w:t>
      </w:r>
    </w:p>
    <w:p>
      <w:pPr/>
      <w:r>
        <w:rPr>
          <w:b/>
        </w:rPr>
        <w:t xml:space="preserve">Caractéristiques géométriques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Paramètre</w:t>
            </w:r>
          </w:p>
        </w:tc>
        <w:tc>
          <w:tcPr>
            <w:tcW w:w="4680" w:type="dxa"/>
            <w:shd w:val="clear" w:color="auto" w:fill="F2F2F2"/>
          </w:tcPr>
          <w:p>
            <w:pPr/>
            <w:r>
              <w:t xml:space="preserve">Valeur proposée</w:t>
            </w:r>
          </w:p>
        </w:tc>
      </w:tr>
      <w:tr>
        <w:tc>
          <w:tcPr>
            <w:tcW w:w="4680" w:type="dxa"/>
          </w:tcPr>
          <w:p>
            <w:pPr/>
            <w:r>
              <w:t xml:space="preserve">Catégorie</w:t>
            </w:r>
          </w:p>
        </w:tc>
        <w:tc>
          <w:tcPr>
            <w:tcW w:w="4680" w:type="dxa"/>
          </w:tcPr>
          <w:p>
            <w:pPr/>
            <w:r>
              <w:t xml:space="preserve">Route nationale, 2 × 1 voie</w:t>
            </w:r>
          </w:p>
        </w:tc>
      </w:tr>
      <w:tr>
        <w:tc>
          <w:tcPr>
            <w:tcW w:w="4680" w:type="dxa"/>
          </w:tcPr>
          <w:p>
            <w:pPr/>
            <w:r>
              <w:t xml:space="preserve">Largeur de chaussée</w:t>
            </w:r>
          </w:p>
        </w:tc>
        <w:tc>
          <w:tcPr>
            <w:tcW w:w="4680" w:type="dxa"/>
          </w:tcPr>
          <w:p>
            <w:pPr/>
            <w:r>
              <w:t xml:space="preserve">7,00 m (2 × 3,50 m)</w:t>
            </w:r>
          </w:p>
        </w:tc>
      </w:tr>
      <w:tr>
        <w:tc>
          <w:tcPr>
            <w:tcW w:w="4680" w:type="dxa"/>
          </w:tcPr>
          <w:p>
            <w:pPr/>
            <w:r>
              <w:t xml:space="preserve">Accotements</w:t>
            </w:r>
          </w:p>
        </w:tc>
        <w:tc>
          <w:tcPr>
            <w:tcW w:w="4680" w:type="dxa"/>
          </w:tcPr>
          <w:p>
            <w:pPr/>
            <w:r>
              <w:t xml:space="preserve">2 × 1,50 m, revêtus en traversée d'agglomération</w:t>
            </w:r>
          </w:p>
        </w:tc>
      </w:tr>
      <w:tr>
        <w:tc>
          <w:tcPr>
            <w:tcW w:w="4680" w:type="dxa"/>
          </w:tcPr>
          <w:p>
            <w:pPr/>
            <w:r>
              <w:t xml:space="preserve">Plate-forme</w:t>
            </w:r>
          </w:p>
        </w:tc>
        <w:tc>
          <w:tcPr>
            <w:tcW w:w="4680" w:type="dxa"/>
          </w:tcPr>
          <w:p>
            <w:pPr/>
            <w:r>
              <w:t xml:space="preserve">10,00 m minimum</w:t>
            </w:r>
          </w:p>
        </w:tc>
      </w:tr>
      <w:tr>
        <w:tc>
          <w:tcPr>
            <w:tcW w:w="4680" w:type="dxa"/>
          </w:tcPr>
          <w:p>
            <w:pPr/>
            <w:r>
              <w:t xml:space="preserve">Vitesse de référence</w:t>
            </w:r>
          </w:p>
        </w:tc>
        <w:tc>
          <w:tcPr>
            <w:tcW w:w="4680" w:type="dxa"/>
          </w:tcPr>
          <w:p>
            <w:pPr/>
            <w:r>
              <w:t xml:space="preserve">80 km/h en plaine, 40 à 60 km/h en relief</w:t>
            </w:r>
          </w:p>
        </w:tc>
      </w:tr>
      <w:tr>
        <w:tc>
          <w:tcPr>
            <w:tcW w:w="4680" w:type="dxa"/>
          </w:tcPr>
          <w:p>
            <w:pPr/>
            <w:r>
              <w:t xml:space="preserve">Charge à l'essieu</w:t>
            </w:r>
          </w:p>
        </w:tc>
        <w:tc>
          <w:tcPr>
            <w:tcW w:w="4680" w:type="dxa"/>
          </w:tcPr>
          <w:p>
            <w:pPr/>
            <w:r>
              <w:t xml:space="preserve">13 tonnes</w:t>
            </w:r>
          </w:p>
        </w:tc>
      </w:tr>
      <w:tr>
        <w:tc>
          <w:tcPr>
            <w:tcW w:w="4680" w:type="dxa"/>
          </w:tcPr>
          <w:p>
            <w:pPr/>
            <w:r>
              <w:t xml:space="preserve">Durée de dimensionnement</w:t>
            </w:r>
          </w:p>
        </w:tc>
        <w:tc>
          <w:tcPr>
            <w:tcW w:w="4680" w:type="dxa"/>
          </w:tcPr>
          <w:p>
            <w:pPr/>
            <w:r>
              <w:t xml:space="preserve">20 ans</w:t>
            </w:r>
          </w:p>
        </w:tc>
      </w:tr>
    </w:tbl>
    <w:p>
      <w:pPr/>
      <w:r>
        <w:rPr>
          <w:b/>
        </w:rPr>
        <w:t xml:space="preserve">Structure de chaussée type (à confirmer par les études géotechniques)</w:t>
      </w:r>
    </w:p>
    <w:p>
      <w:pPr>
        <w:pStyle w:val="ListParagraph"/>
        <w:numPr>
          <w:ilvl w:val="0"/>
          <w:numId w:val="4"/>
        </w:numPr>
      </w:pPr>
      <w:r>
        <w:t xml:space="preserve">Couche de forme : matériaux sélectionnés, 30 cm selon portance du sol.</w:t>
      </w:r>
    </w:p>
    <w:p>
      <w:pPr>
        <w:pStyle w:val="ListParagraph"/>
        <w:numPr>
          <w:ilvl w:val="0"/>
          <w:numId w:val="4"/>
        </w:numPr>
      </w:pPr>
      <w:r>
        <w:t xml:space="preserve">Couche de fondation : grave latéritique ou graveleuse, 20 à 25 cm.</w:t>
      </w:r>
    </w:p>
    <w:p>
      <w:pPr>
        <w:pStyle w:val="ListParagraph"/>
        <w:numPr>
          <w:ilvl w:val="0"/>
          <w:numId w:val="4"/>
        </w:numPr>
      </w:pPr>
      <w:r>
        <w:t xml:space="preserve">Couche de base : grave concassée ou grave-ciment, 15 à 20 cm.</w:t>
      </w:r>
    </w:p>
    <w:p>
      <w:pPr>
        <w:pStyle w:val="ListParagraph"/>
        <w:numPr>
          <w:ilvl w:val="0"/>
          <w:numId w:val="4"/>
        </w:numPr>
      </w:pPr>
      <w:r>
        <w:t xml:space="preserve">Revêtement : béton bitumineux 5 cm sur les sections à fort trafic et en agglomération ; enduit superficiel bicouche ailleurs.</w:t>
      </w:r>
    </w:p>
    <w:p>
      <w:pPr/>
      <w:r>
        <w:rPr>
          <w:b/>
        </w:rPr>
        <w:t xml:space="preserve">Ouvrages et équipements</w:t>
      </w:r>
    </w:p>
    <w:p>
      <w:pPr>
        <w:pStyle w:val="ListParagraph"/>
        <w:numPr>
          <w:ilvl w:val="0"/>
          <w:numId w:val="5"/>
        </w:numPr>
      </w:pPr>
      <w:r>
        <w:t xml:space="preserve">Reconstruction ou construction des ponts, dalots et buses sur l'ensemble des rivières franchies.</w:t>
      </w:r>
    </w:p>
    <w:p>
      <w:pPr>
        <w:pStyle w:val="ListParagraph"/>
        <w:numPr>
          <w:ilvl w:val="0"/>
          <w:numId w:val="5"/>
        </w:numPr>
      </w:pPr>
      <w:r>
        <w:t xml:space="preserve">Fossés bétonnés dans les pentes, descentes d'eau et protection des talus (enrochements, gabions, végétalisation).</w:t>
      </w:r>
    </w:p>
    <w:p>
      <w:pPr>
        <w:pStyle w:val="ListParagraph"/>
        <w:numPr>
          <w:ilvl w:val="0"/>
          <w:numId w:val="5"/>
        </w:numPr>
      </w:pPr>
      <w:r>
        <w:t xml:space="preserve">Signalisation horizontale et verticale, glissières sur les sections dangereuses.</w:t>
      </w:r>
    </w:p>
    <w:p>
      <w:pPr>
        <w:pStyle w:val="ListParagraph"/>
        <w:numPr>
          <w:ilvl w:val="0"/>
          <w:numId w:val="5"/>
        </w:numPr>
      </w:pPr>
      <w:r>
        <w:t xml:space="preserve">Aménagements en agglomération : trottoirs, ralentisseurs, aires de stationnement et marchés.</w:t>
      </w:r>
    </w:p>
    <w:p>
      <w:pPr>
        <w:pStyle w:val="ListParagraph"/>
        <w:numPr>
          <w:ilvl w:val="0"/>
          <w:numId w:val="5"/>
        </w:numPr>
      </w:pPr>
      <w:r>
        <w:t xml:space="preserve">3 à 4 postes de péage et de pesage (au moins un par lot), et un centre d'entretien par lot.</w:t>
      </w:r>
    </w:p>
    <w:p>
      <w:pPr/>
      <w:r>
        <w:rPr>
          <w:b/>
        </w:rPr>
        <w:t xml:space="preserve">Méthode d'exécution</w:t>
      </w:r>
    </w:p>
    <w:p>
      <w:pPr>
        <w:pStyle w:val="ListParagraph"/>
        <w:numPr>
          <w:ilvl w:val="0"/>
          <w:numId w:val="6"/>
        </w:numPr>
      </w:pPr>
      <w:r>
        <w:t xml:space="preserve">Travaux simultanés sur les 3 lots, chacun avec sa base-vie, sa centrale d'enrobés et ses carrières.</w:t>
      </w:r>
    </w:p>
    <w:p>
      <w:pPr>
        <w:pStyle w:val="ListParagraph"/>
        <w:numPr>
          <w:ilvl w:val="0"/>
          <w:numId w:val="6"/>
        </w:numPr>
      </w:pPr>
      <w:r>
        <w:t xml:space="preserve">Priorité aux ouvrages de franchissement en saison sèche, pour garantir la circulation permanente.</w:t>
      </w:r>
    </w:p>
    <w:p>
      <w:pPr>
        <w:pStyle w:val="ListParagraph"/>
        <w:numPr>
          <w:ilvl w:val="0"/>
          <w:numId w:val="6"/>
        </w:numPr>
      </w:pPr>
      <w:r>
        <w:t xml:space="preserve">Recrutement local prioritaire et sous-traitance aux PME congolaises, conformément à la législation sur la sous-traitance.</w:t>
      </w:r>
    </w:p>
    <w:p>
      <w:pPr>
        <w:pStyle w:val="ListParagraph"/>
        <w:numPr>
          <w:ilvl w:val="0"/>
          <w:numId w:val="6"/>
        </w:numPr>
      </w:pPr>
      <w:r>
        <w:t xml:space="preserve">Contrôle et surveillance des travaux par un bureau indépendant agréé par le Ministère et l'Office des Routes.</w:t>
      </w:r>
    </w:p>
    <w:p>
      <w:pPr>
        <w:pStyle w:val="Heading2"/>
      </w:pPr>
      <w:r>
        <w:t xml:space="preserve">5. Estimation indicative des coûts et planning</w:t>
      </w:r>
    </w:p>
    <w:p>
      <w:pPr/>
      <w:r>
        <w:t xml:space="preserve">L'investissement initial est estimé entre 480 et 650 millions USD hors frais financiers, sur la base d'environ 420 km et de coûts unitaires observés sur des routes comparables en Afrique centrale et de l'Est.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Poste</w:t>
            </w:r>
          </w:p>
        </w:tc>
        <w:tc>
          <w:tcPr>
            <w:tcW w:w="3120" w:type="dxa"/>
            <w:shd w:val="clear" w:color="auto" w:fill="F2F2F2"/>
          </w:tcPr>
          <w:p>
            <w:pPr/>
            <w:r>
              <w:t xml:space="preserve">Base de calcul</w:t>
            </w:r>
          </w:p>
        </w:tc>
        <w:tc>
          <w:tcPr>
            <w:tcW w:w="3120" w:type="dxa"/>
            <w:shd w:val="clear" w:color="auto" w:fill="F2F2F2"/>
          </w:tcPr>
          <w:p>
            <w:pPr/>
            <w:r>
              <w:t xml:space="preserve">Montant (millions USD)</w:t>
            </w:r>
          </w:p>
        </w:tc>
      </w:tr>
      <w:tr>
        <w:tc>
          <w:tcPr>
            <w:tcW w:w="3120" w:type="dxa"/>
          </w:tcPr>
          <w:p>
            <w:pPr/>
            <w:r>
              <w:t xml:space="preserve">Terrassements et chaussée</w:t>
            </w:r>
          </w:p>
        </w:tc>
        <w:tc>
          <w:tcPr>
            <w:tcW w:w="3120" w:type="dxa"/>
          </w:tcPr>
          <w:p>
            <w:pPr/>
            <w:r>
              <w:t xml:space="preserve">≈ 420 km × 0,8 à 1,0 M USD/km</w:t>
            </w:r>
          </w:p>
        </w:tc>
        <w:tc>
          <w:tcPr>
            <w:tcW w:w="3120" w:type="dxa"/>
          </w:tcPr>
          <w:p>
            <w:pPr/>
            <w:r>
              <w:t xml:space="preserve">330 – 420</w:t>
            </w:r>
          </w:p>
        </w:tc>
      </w:tr>
      <w:tr>
        <w:tc>
          <w:tcPr>
            <w:tcW w:w="3120" w:type="dxa"/>
          </w:tcPr>
          <w:p>
            <w:pPr/>
            <w:r>
              <w:t xml:space="preserve">Ouvrages d'art et drainage</w:t>
            </w:r>
          </w:p>
        </w:tc>
        <w:tc>
          <w:tcPr>
            <w:tcW w:w="3120" w:type="dxa"/>
          </w:tcPr>
          <w:p>
            <w:pPr/>
            <w:r>
              <w:t xml:space="preserve">Ponts, dalots, protection des talus</w:t>
            </w:r>
          </w:p>
        </w:tc>
        <w:tc>
          <w:tcPr>
            <w:tcW w:w="3120" w:type="dxa"/>
          </w:tcPr>
          <w:p>
            <w:pPr/>
            <w:r>
              <w:t xml:space="preserve">60 – 90</w:t>
            </w:r>
          </w:p>
        </w:tc>
      </w:tr>
      <w:tr>
        <w:tc>
          <w:tcPr>
            <w:tcW w:w="3120" w:type="dxa"/>
          </w:tcPr>
          <w:p>
            <w:pPr/>
            <w:r>
              <w:t xml:space="preserve">Équipements (signalisation, péages, pesage, centres d'entretien)</w:t>
            </w:r>
          </w:p>
        </w:tc>
        <w:tc>
          <w:tcPr>
            <w:tcW w:w="3120" w:type="dxa"/>
          </w:tcPr>
          <w:p>
            <w:pPr/>
            <w:r>
              <w:t xml:space="preserve">Forfait</w:t>
            </w:r>
          </w:p>
        </w:tc>
        <w:tc>
          <w:tcPr>
            <w:tcW w:w="3120" w:type="dxa"/>
          </w:tcPr>
          <w:p>
            <w:pPr/>
            <w:r>
              <w:t xml:space="preserve">15 – 25</w:t>
            </w:r>
          </w:p>
        </w:tc>
      </w:tr>
      <w:tr>
        <w:tc>
          <w:tcPr>
            <w:tcW w:w="3120" w:type="dxa"/>
          </w:tcPr>
          <w:p>
            <w:pPr/>
            <w:r>
              <w:t xml:space="preserve">Études, contrôle et surveillance</w:t>
            </w:r>
          </w:p>
        </w:tc>
        <w:tc>
          <w:tcPr>
            <w:tcW w:w="3120" w:type="dxa"/>
          </w:tcPr>
          <w:p>
            <w:pPr/>
            <w:r>
              <w:t xml:space="preserve">≈ 5 % des travaux</w:t>
            </w:r>
          </w:p>
        </w:tc>
        <w:tc>
          <w:tcPr>
            <w:tcW w:w="3120" w:type="dxa"/>
          </w:tcPr>
          <w:p>
            <w:pPr/>
            <w:r>
              <w:t xml:space="preserve">20 – 30</w:t>
            </w:r>
          </w:p>
        </w:tc>
      </w:tr>
      <w:tr>
        <w:tc>
          <w:tcPr>
            <w:tcW w:w="3120" w:type="dxa"/>
          </w:tcPr>
          <w:p>
            <w:pPr/>
            <w:r>
              <w:t xml:space="preserve">Mesures environnementales et sociales, réinstallation</w:t>
            </w:r>
          </w:p>
        </w:tc>
        <w:tc>
          <w:tcPr>
            <w:tcW w:w="3120" w:type="dxa"/>
          </w:tcPr>
          <w:p>
            <w:pPr/>
            <w:r>
              <w:t xml:space="preserve">Forfait à confirmer par l'EIES</w:t>
            </w:r>
          </w:p>
        </w:tc>
        <w:tc>
          <w:tcPr>
            <w:tcW w:w="3120" w:type="dxa"/>
          </w:tcPr>
          <w:p>
            <w:pPr/>
            <w:r>
              <w:t xml:space="preserve">15 – 25</w:t>
            </w:r>
          </w:p>
        </w:tc>
      </w:tr>
      <w:tr>
        <w:tc>
          <w:tcPr>
            <w:tcW w:w="3120" w:type="dxa"/>
          </w:tcPr>
          <w:p>
            <w:pPr/>
            <w:r>
              <w:t xml:space="preserve">Imprévus physiques</w:t>
            </w:r>
          </w:p>
        </w:tc>
        <w:tc>
          <w:tcPr>
            <w:tcW w:w="3120" w:type="dxa"/>
          </w:tcPr>
          <w:p>
            <w:pPr/>
            <w:r>
              <w:t xml:space="preserve">≈ 10 %</w:t>
            </w:r>
          </w:p>
        </w:tc>
        <w:tc>
          <w:tcPr>
            <w:tcW w:w="3120" w:type="dxa"/>
          </w:tcPr>
          <w:p>
            <w:pPr/>
            <w:r>
              <w:t xml:space="preserve">40 – 60</w:t>
            </w:r>
          </w:p>
        </w:tc>
      </w:tr>
      <w:tr>
        <w:tc>
          <w:tcPr>
            <w:tcW w:w="3120" w:type="dxa"/>
          </w:tcPr>
          <w:p>
            <w:pPr/>
            <w:r>
              <w:rPr>
                <w:b/>
              </w:rPr>
              <w:t xml:space="preserve">Total investissement</w:t>
            </w:r>
          </w:p>
        </w:tc>
        <w:tc>
          <w:tcPr>
            <w:tcW w:w="3120" w:type="dxa"/>
          </w:tcPr>
          <w:p>
            <w:pPr/>
          </w:p>
        </w:tc>
        <w:tc>
          <w:tcPr>
            <w:tcW w:w="3120" w:type="dxa"/>
          </w:tcPr>
          <w:p>
            <w:pPr/>
            <w:r>
              <w:rPr>
                <w:b/>
              </w:rPr>
              <w:t xml:space="preserve">480 – 650</w:t>
            </w:r>
          </w:p>
        </w:tc>
      </w:tr>
    </w:tbl>
    <w:p>
      <w:pPr/>
      <w:r>
        <w:t xml:space="preserve">L'entretien courant et périodique, ainsi que l'exploitation (péages, patrouilles, pesage), sont estimés à 8 à 12 millions USD par an. Les frais financiers pendant la construction s'ajouteront et dépendront des conditions des prêteurs.</w:t>
      </w:r>
    </w:p>
    <w:p>
      <w:pPr/>
      <w:r>
        <w:t xml:space="preserve">Le calendrier visé mène de la signature du Protocole d'Accord à la mise en service complète en environ 5 ans et demi.</w:t>
      </w:r>
    </w:p>
    <w:p>
      <w:pPr>
        <w:pStyle w:val="Heading2"/>
      </w:pPr>
      <w:r>
        <w:t xml:space="preserve">6. Montage PPP proposé</w:t>
      </w:r>
    </w:p>
    <w:p>
      <w:pPr/>
      <w:r>
        <w:t xml:space="preserve">Nous recommandons une concession DBFOM à péage de 30 ans : le partenaire privé se rémunère principalement auprès des usagers, et l'État n'intervient que par une garantie de recettes minimales et, si nécessaire, une subvention d'investissement. La durée de 30 ans permet d'amortir l'investissement par le péage, le trafic actuel étant encore faible.</w:t>
      </w:r>
    </w:p>
    <w:p>
      <w:pPr/>
      <w:r>
        <w:rPr>
          <w:b/>
        </w:rPr>
        <w:t xml:space="preserve">Cadre juridique</w:t>
      </w:r>
    </w:p>
    <w:p>
      <w:pPr>
        <w:pStyle w:val="ListParagraph"/>
        <w:numPr>
          <w:ilvl w:val="0"/>
          <w:numId w:val="7"/>
        </w:numPr>
      </w:pPr>
      <w:r>
        <w:t xml:space="preserve">Loi n°18/016 du 9 juillet 2018 relative aux partenariats public-privé et ses mesures d'application, y compris la procédure applicable aux offres spontanées.</w:t>
      </w:r>
    </w:p>
    <w:p>
      <w:pPr>
        <w:pStyle w:val="ListParagraph"/>
        <w:numPr>
          <w:ilvl w:val="0"/>
          <w:numId w:val="7"/>
        </w:numPr>
      </w:pPr>
      <w:r>
        <w:t xml:space="preserve">Autorité contractante : l'État congolais, représenté par le Ministère des Infrastructures et Travaux Publics, avec l'Office des Routes comme maître d'ouvrage délégué.</w:t>
      </w:r>
    </w:p>
    <w:p>
      <w:pPr>
        <w:pStyle w:val="ListParagraph"/>
        <w:numPr>
          <w:ilvl w:val="0"/>
          <w:numId w:val="7"/>
        </w:numPr>
      </w:pPr>
      <w:r>
        <w:t xml:space="preserve">Avis des organes compétents en matière de PPP et de marchés publics, ainsi que du Ministère des Finances pour les engagements budgétaires.</w:t>
      </w:r>
    </w:p>
    <w:p>
      <w:pPr/>
      <w:r>
        <w:rPr>
          <w:b/>
        </w:rPr>
        <w:t xml:space="preserve">Société de projet</w:t>
      </w:r>
    </w:p>
    <w:p>
      <w:pPr/>
      <w:r>
        <w:t xml:space="preserve">Une société de droit congolais dédiée (« RN5 Tanganyika S.A. », nom provisoire) porte le contrat. EIS-EKA en est l'actionnaire de référence ; l'État ou un organisme public peut y détenir une participation minoritaire.</w:t>
      </w:r>
    </w:p>
    <w:p>
      <w:pPr/>
      <w:r>
        <w:rPr>
          <w:b/>
        </w:rPr>
        <w:t xml:space="preserve">Rémunération du partenaire privé</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Source</w:t>
            </w:r>
          </w:p>
        </w:tc>
        <w:tc>
          <w:tcPr>
            <w:tcW w:w="3120" w:type="dxa"/>
            <w:shd w:val="clear" w:color="auto" w:fill="F2F2F2"/>
          </w:tcPr>
          <w:p>
            <w:pPr/>
            <w:r>
              <w:t xml:space="preserve">Principe</w:t>
            </w:r>
          </w:p>
        </w:tc>
        <w:tc>
          <w:tcPr>
            <w:tcW w:w="3120" w:type="dxa"/>
            <w:shd w:val="clear" w:color="auto" w:fill="F2F2F2"/>
          </w:tcPr>
          <w:p>
            <w:pPr/>
            <w:r>
              <w:t xml:space="preserve">Payeur</w:t>
            </w:r>
          </w:p>
        </w:tc>
      </w:tr>
      <w:tr>
        <w:tc>
          <w:tcPr>
            <w:tcW w:w="3120" w:type="dxa"/>
          </w:tcPr>
          <w:p>
            <w:pPr/>
            <w:r>
              <w:t xml:space="preserve">Péage (source principale)</w:t>
            </w:r>
          </w:p>
        </w:tc>
        <w:tc>
          <w:tcPr>
            <w:tcW w:w="3120" w:type="dxa"/>
          </w:tcPr>
          <w:p>
            <w:pPr/>
            <w:r>
              <w:t xml:space="preserve">Tarifs par catégorie de véhicule fixés dans le contrat et indexés sur l'inflation ; les poids lourds fournissent l'essentiel des recettes ; tarif réduit ou exonération pour les véhicules légers et motos locaux à étudier</w:t>
            </w:r>
          </w:p>
        </w:tc>
        <w:tc>
          <w:tcPr>
            <w:tcW w:w="3120" w:type="dxa"/>
          </w:tcPr>
          <w:p>
            <w:pPr/>
            <w:r>
              <w:t xml:space="preserve">Usagers</w:t>
            </w:r>
          </w:p>
        </w:tc>
      </w:tr>
      <w:tr>
        <w:tc>
          <w:tcPr>
            <w:tcW w:w="3120" w:type="dxa"/>
          </w:tcPr>
          <w:p>
            <w:pPr/>
            <w:r>
              <w:t xml:space="preserve">Revenus annexes</w:t>
            </w:r>
          </w:p>
        </w:tc>
        <w:tc>
          <w:tcPr>
            <w:tcW w:w="3120" w:type="dxa"/>
          </w:tcPr>
          <w:p>
            <w:pPr/>
            <w:r>
              <w:t xml:space="preserve">Pesage, aires de service, fibre optique en accotement, concessions commerciales</w:t>
            </w:r>
          </w:p>
        </w:tc>
        <w:tc>
          <w:tcPr>
            <w:tcW w:w="3120" w:type="dxa"/>
          </w:tcPr>
          <w:p>
            <w:pPr/>
            <w:r>
              <w:t xml:space="preserve">Opérateurs et usagers</w:t>
            </w:r>
          </w:p>
        </w:tc>
      </w:tr>
      <w:tr>
        <w:tc>
          <w:tcPr>
            <w:tcW w:w="3120" w:type="dxa"/>
          </w:tcPr>
          <w:p>
            <w:pPr/>
            <w:r>
              <w:t xml:space="preserve">Garantie de recettes minimales</w:t>
            </w:r>
          </w:p>
        </w:tc>
        <w:tc>
          <w:tcPr>
            <w:tcW w:w="3120" w:type="dxa"/>
          </w:tcPr>
          <w:p>
            <w:pPr/>
            <w:r>
              <w:t xml:space="preserve">Si les recettes de péage tombent sous un seuil convenu, l'État compense l'écart ; au-delà d'un plafond, l'excédent est partagé avec l'État</w:t>
            </w:r>
          </w:p>
        </w:tc>
        <w:tc>
          <w:tcPr>
            <w:tcW w:w="3120" w:type="dxa"/>
          </w:tcPr>
          <w:p>
            <w:pPr/>
            <w:r>
              <w:t xml:space="preserve">État, via FONER (activée seulement en cas de besoin)</w:t>
            </w:r>
          </w:p>
        </w:tc>
      </w:tr>
      <w:tr>
        <w:tc>
          <w:tcPr>
            <w:tcW w:w="3120" w:type="dxa"/>
          </w:tcPr>
          <w:p>
            <w:pPr/>
            <w:r>
              <w:t xml:space="preserve">Subvention d'investissement (si nécessaire)</w:t>
            </w:r>
          </w:p>
        </w:tc>
        <w:tc>
          <w:tcPr>
            <w:tcW w:w="3120" w:type="dxa"/>
          </w:tcPr>
          <w:p>
            <w:pPr/>
            <w:r>
              <w:t xml:space="preserve">Contribution publique ou de bailleurs pendant la construction, pour garder des tarifs supportables</w:t>
            </w:r>
          </w:p>
        </w:tc>
        <w:tc>
          <w:tcPr>
            <w:tcW w:w="3120" w:type="dxa"/>
          </w:tcPr>
          <w:p>
            <w:pPr/>
            <w:r>
              <w:t xml:space="preserve">État, bailleurs</w:t>
            </w:r>
          </w:p>
        </w:tc>
      </w:tr>
    </w:tbl>
    <w:p>
      <w:pPr/>
      <w:r>
        <w:t xml:space="preserve">Ce modèle n'est viable que si l'étude de trafic confirme des recettes suffisantes ; elle fixera le niveau des tarifs, de la garantie et de la subvention.</w:t>
      </w:r>
    </w:p>
    <w:p>
      <w:pPr/>
      <w:r>
        <w:rPr>
          <w:b/>
        </w:rPr>
        <w:t xml:space="preserve">Structure de financement envisagée</w:t>
      </w:r>
    </w:p>
    <w:p>
      <w:pPr>
        <w:pStyle w:val="ListParagraph"/>
        <w:numPr>
          <w:ilvl w:val="0"/>
          <w:numId w:val="8"/>
        </w:numPr>
      </w:pPr>
      <w:r>
        <w:t xml:space="preserve">Fonds propres : 20 à 25 %, apportés par EIS-EKA et ses partenaires investisseurs.</w:t>
      </w:r>
    </w:p>
    <w:p>
      <w:pPr>
        <w:pStyle w:val="ListParagraph"/>
        <w:numPr>
          <w:ilvl w:val="0"/>
          <w:numId w:val="8"/>
        </w:numPr>
      </w:pPr>
      <w:r>
        <w:t xml:space="preserve">Dette : 75 à 80 %, auprès d'institutions telles que la Banque africaine de développement, Afreximbank, la TDB, la Banque mondiale (IFC) ou des agences de crédit à l'exportation.</w:t>
      </w:r>
    </w:p>
    <w:p>
      <w:pPr>
        <w:pStyle w:val="ListParagraph"/>
        <w:numPr>
          <w:ilvl w:val="0"/>
          <w:numId w:val="8"/>
        </w:numPr>
      </w:pPr>
      <w:r>
        <w:t xml:space="preserve">Garanties : garantie de paiement de l'État, assurance contre les risques politiques (MIGA, ATI), garantie partielle de risque de la Banque mondiale ou de la BAD.</w:t>
      </w:r>
    </w:p>
    <w:p>
      <w:pPr>
        <w:pStyle w:val="ListParagraph"/>
        <w:numPr>
          <w:ilvl w:val="0"/>
          <w:numId w:val="8"/>
        </w:numPr>
      </w:pPr>
      <w:r>
        <w:t xml:space="preserve">Le cas échéant, une subvention d'investissement publique ou de bailleurs pour maintenir des tarifs de péage supportables.</w:t>
      </w:r>
    </w:p>
    <w:p>
      <w:pPr/>
      <w:r>
        <w:rPr>
          <w:b/>
        </w:rPr>
        <w:t xml:space="preserve">Fin de contrat</w:t>
      </w:r>
      <w:r>
        <w:t xml:space="preserve"> : la route est remise gratuitement à l'État au terme des 30 ans, en bon état d'entretien, avec un audit contradictoire 3 ans avant l'échéance.</w:t>
      </w:r>
    </w:p>
    <w:p>
      <w:pPr>
        <w:pStyle w:val="Heading2"/>
      </w:pPr>
      <w:r>
        <w:t xml:space="preserve">7. Matrice des risques</w:t>
      </w:r>
    </w:p>
    <w:p>
      <w:pPr/>
      <w:r>
        <w:t xml:space="preserve">Le partenaire privé porte les risques qu'il maîtrise (conception, construction, entretien) ; l'État porte ceux qui relèvent de sa souveraineté (sécurité, foncier, changements de loi).</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Risque</w:t>
            </w:r>
          </w:p>
        </w:tc>
        <w:tc>
          <w:tcPr>
            <w:tcW w:w="2340" w:type="dxa"/>
            <w:shd w:val="clear" w:color="auto" w:fill="F2F2F2"/>
          </w:tcPr>
          <w:p>
            <w:pPr/>
            <w:r>
              <w:t xml:space="preserve">Niveau</w:t>
            </w:r>
          </w:p>
        </w:tc>
        <w:tc>
          <w:tcPr>
            <w:tcW w:w="2340" w:type="dxa"/>
            <w:shd w:val="clear" w:color="auto" w:fill="F2F2F2"/>
          </w:tcPr>
          <w:p>
            <w:pPr/>
            <w:r>
              <w:t xml:space="preserve">Porté par</w:t>
            </w:r>
          </w:p>
        </w:tc>
        <w:tc>
          <w:tcPr>
            <w:tcW w:w="2340" w:type="dxa"/>
            <w:shd w:val="clear" w:color="auto" w:fill="F2F2F2"/>
          </w:tcPr>
          <w:p>
            <w:pPr/>
            <w:r>
              <w:t xml:space="preserve">Mesures d'atténuation</w:t>
            </w:r>
          </w:p>
        </w:tc>
      </w:tr>
      <w:tr>
        <w:tc>
          <w:tcPr>
            <w:tcW w:w="2340" w:type="dxa"/>
          </w:tcPr>
          <w:p>
            <w:pPr/>
            <w:r>
              <w:t xml:space="preserve">Sécurité et conflits armés</w:t>
            </w:r>
          </w:p>
        </w:tc>
        <w:tc>
          <w:tcPr>
            <w:tcW w:w="2340" w:type="dxa"/>
          </w:tcPr>
          <w:p>
            <w:pPr/>
            <w:r>
              <w:t xml:space="preserve">Élevé</w:t>
            </w:r>
          </w:p>
        </w:tc>
        <w:tc>
          <w:tcPr>
            <w:tcW w:w="2340" w:type="dxa"/>
          </w:tcPr>
          <w:p>
            <w:pPr/>
            <w:r>
              <w:t xml:space="preserve">État (force majeure politique)</w:t>
            </w:r>
          </w:p>
        </w:tc>
        <w:tc>
          <w:tcPr>
            <w:tcW w:w="2340" w:type="dxa"/>
          </w:tcPr>
          <w:p>
            <w:pPr/>
            <w:r>
              <w:t xml:space="preserve">Escorte et sécurisation des chantiers par les FARDC et la PNC, démarrage par les sections sûres, assurance risques politiques, prolongation des délais</w:t>
            </w:r>
          </w:p>
        </w:tc>
      </w:tr>
      <w:tr>
        <w:tc>
          <w:tcPr>
            <w:tcW w:w="2340" w:type="dxa"/>
          </w:tcPr>
          <w:p>
            <w:pPr/>
            <w:r>
              <w:t xml:space="preserve">Paiement de la garantie de recettes par l'État</w:t>
            </w:r>
          </w:p>
        </w:tc>
        <w:tc>
          <w:tcPr>
            <w:tcW w:w="2340" w:type="dxa"/>
          </w:tcPr>
          <w:p>
            <w:pPr/>
            <w:r>
              <w:t xml:space="preserve">Élevé</w:t>
            </w:r>
          </w:p>
        </w:tc>
        <w:tc>
          <w:tcPr>
            <w:tcW w:w="2340" w:type="dxa"/>
          </w:tcPr>
          <w:p>
            <w:pPr/>
            <w:r>
              <w:t xml:space="preserve">État</w:t>
            </w:r>
          </w:p>
        </w:tc>
        <w:tc>
          <w:tcPr>
            <w:tcW w:w="2340" w:type="dxa"/>
          </w:tcPr>
          <w:p>
            <w:pPr/>
            <w:r>
              <w:t xml:space="preserve">Compte séquestre alimenté par le FONER et le péage, garantie de paiement, garantie partielle de risque d'un bailleur</w:t>
            </w:r>
          </w:p>
        </w:tc>
      </w:tr>
      <w:tr>
        <w:tc>
          <w:tcPr>
            <w:tcW w:w="2340" w:type="dxa"/>
          </w:tcPr>
          <w:p>
            <w:pPr/>
            <w:r>
              <w:t xml:space="preserve">Libération des emprises et réinstallation</w:t>
            </w:r>
          </w:p>
        </w:tc>
        <w:tc>
          <w:tcPr>
            <w:tcW w:w="2340" w:type="dxa"/>
          </w:tcPr>
          <w:p>
            <w:pPr/>
            <w:r>
              <w:t xml:space="preserve">Moyen</w:t>
            </w:r>
          </w:p>
        </w:tc>
        <w:tc>
          <w:tcPr>
            <w:tcW w:w="2340" w:type="dxa"/>
          </w:tcPr>
          <w:p>
            <w:pPr/>
            <w:r>
              <w:t xml:space="preserve">État</w:t>
            </w:r>
          </w:p>
        </w:tc>
        <w:tc>
          <w:tcPr>
            <w:tcW w:w="2340" w:type="dxa"/>
          </w:tcPr>
          <w:p>
            <w:pPr/>
            <w:r>
              <w:t xml:space="preserve">Plan d'action de réinstallation financé avant les travaux, comités locaux de suivi</w:t>
            </w:r>
          </w:p>
        </w:tc>
      </w:tr>
      <w:tr>
        <w:tc>
          <w:tcPr>
            <w:tcW w:w="2340" w:type="dxa"/>
          </w:tcPr>
          <w:p>
            <w:pPr/>
            <w:r>
              <w:t xml:space="preserve">Géotechnique et hydrologie</w:t>
            </w:r>
          </w:p>
        </w:tc>
        <w:tc>
          <w:tcPr>
            <w:tcW w:w="2340" w:type="dxa"/>
          </w:tcPr>
          <w:p>
            <w:pPr/>
            <w:r>
              <w:t xml:space="preserve">Moyen</w:t>
            </w:r>
          </w:p>
        </w:tc>
        <w:tc>
          <w:tcPr>
            <w:tcW w:w="2340" w:type="dxa"/>
          </w:tcPr>
          <w:p>
            <w:pPr/>
            <w:r>
              <w:t xml:space="preserve">Partenaire privé</w:t>
            </w:r>
          </w:p>
        </w:tc>
        <w:tc>
          <w:tcPr>
            <w:tcW w:w="2340" w:type="dxa"/>
          </w:tcPr>
          <w:p>
            <w:pPr/>
            <w:r>
              <w:t xml:space="preserve">Études détaillées avant prix ferme, provision pour imprévus</w:t>
            </w:r>
          </w:p>
        </w:tc>
      </w:tr>
      <w:tr>
        <w:tc>
          <w:tcPr>
            <w:tcW w:w="2340" w:type="dxa"/>
          </w:tcPr>
          <w:p>
            <w:pPr/>
            <w:r>
              <w:t xml:space="preserve">Dépassement des coûts et délais</w:t>
            </w:r>
          </w:p>
        </w:tc>
        <w:tc>
          <w:tcPr>
            <w:tcW w:w="2340" w:type="dxa"/>
          </w:tcPr>
          <w:p>
            <w:pPr/>
            <w:r>
              <w:t xml:space="preserve">Moyen</w:t>
            </w:r>
          </w:p>
        </w:tc>
        <w:tc>
          <w:tcPr>
            <w:tcW w:w="2340" w:type="dxa"/>
          </w:tcPr>
          <w:p>
            <w:pPr/>
            <w:r>
              <w:t xml:space="preserve">Partenaire privé</w:t>
            </w:r>
          </w:p>
        </w:tc>
        <w:tc>
          <w:tcPr>
            <w:tcW w:w="2340" w:type="dxa"/>
          </w:tcPr>
          <w:p>
            <w:pPr/>
            <w:r>
              <w:t xml:space="preserve">Contrat de construction à prix forfaitaire, entreprises expérimentées, pénalités</w:t>
            </w:r>
          </w:p>
        </w:tc>
      </w:tr>
      <w:tr>
        <w:tc>
          <w:tcPr>
            <w:tcW w:w="2340" w:type="dxa"/>
          </w:tcPr>
          <w:p>
            <w:pPr/>
            <w:r>
              <w:t xml:space="preserve">Change (USD / CDF)</w:t>
            </w:r>
          </w:p>
        </w:tc>
        <w:tc>
          <w:tcPr>
            <w:tcW w:w="2340" w:type="dxa"/>
          </w:tcPr>
          <w:p>
            <w:pPr/>
            <w:r>
              <w:t xml:space="preserve">Moyen</w:t>
            </w:r>
          </w:p>
        </w:tc>
        <w:tc>
          <w:tcPr>
            <w:tcW w:w="2340" w:type="dxa"/>
          </w:tcPr>
          <w:p>
            <w:pPr/>
            <w:r>
              <w:t xml:space="preserve">Partagé</w:t>
            </w:r>
          </w:p>
        </w:tc>
        <w:tc>
          <w:tcPr>
            <w:tcW w:w="2340" w:type="dxa"/>
          </w:tcPr>
          <w:p>
            <w:pPr/>
            <w:r>
              <w:t xml:space="preserve">Paiements indexés ou libellés en USD, revue tarifaire périodique</w:t>
            </w:r>
          </w:p>
        </w:tc>
      </w:tr>
      <w:tr>
        <w:tc>
          <w:tcPr>
            <w:tcW w:w="2340" w:type="dxa"/>
          </w:tcPr>
          <w:p>
            <w:pPr/>
            <w:r>
              <w:t xml:space="preserve">Trafic et recettes de péage</w:t>
            </w:r>
          </w:p>
        </w:tc>
        <w:tc>
          <w:tcPr>
            <w:tcW w:w="2340" w:type="dxa"/>
          </w:tcPr>
          <w:p>
            <w:pPr/>
            <w:r>
              <w:t xml:space="preserve">Élevé</w:t>
            </w:r>
          </w:p>
        </w:tc>
        <w:tc>
          <w:tcPr>
            <w:tcW w:w="2340" w:type="dxa"/>
          </w:tcPr>
          <w:p>
            <w:pPr/>
            <w:r>
              <w:t xml:space="preserve">Partagé</w:t>
            </w:r>
          </w:p>
        </w:tc>
        <w:tc>
          <w:tcPr>
            <w:tcW w:w="2340" w:type="dxa"/>
          </w:tcPr>
          <w:p>
            <w:pPr/>
            <w:r>
              <w:t xml:space="preserve">Étude de trafic indépendante avant l'offre ferme, garantie de recettes minimales, partage des excédents, mise en service anticipée du lot 1</w:t>
            </w:r>
          </w:p>
        </w:tc>
      </w:tr>
      <w:tr>
        <w:tc>
          <w:tcPr>
            <w:tcW w:w="2340" w:type="dxa"/>
          </w:tcPr>
          <w:p>
            <w:pPr/>
            <w:r>
              <w:t xml:space="preserve">Changement de loi ou de fiscalité</w:t>
            </w:r>
          </w:p>
        </w:tc>
        <w:tc>
          <w:tcPr>
            <w:tcW w:w="2340" w:type="dxa"/>
          </w:tcPr>
          <w:p>
            <w:pPr/>
            <w:r>
              <w:t xml:space="preserve">Faible à moyen</w:t>
            </w:r>
          </w:p>
        </w:tc>
        <w:tc>
          <w:tcPr>
            <w:tcW w:w="2340" w:type="dxa"/>
          </w:tcPr>
          <w:p>
            <w:pPr/>
            <w:r>
              <w:t xml:space="preserve">État</w:t>
            </w:r>
          </w:p>
        </w:tc>
        <w:tc>
          <w:tcPr>
            <w:tcW w:w="2340" w:type="dxa"/>
          </w:tcPr>
          <w:p>
            <w:pPr/>
            <w:r>
              <w:t xml:space="preserve">Clause de stabilité et d'équilibre financier</w:t>
            </w:r>
          </w:p>
        </w:tc>
      </w:tr>
      <w:tr>
        <w:tc>
          <w:tcPr>
            <w:tcW w:w="2340" w:type="dxa"/>
          </w:tcPr>
          <w:p>
            <w:pPr/>
            <w:r>
              <w:t xml:space="preserve">Climat et catastrophes naturelles</w:t>
            </w:r>
          </w:p>
        </w:tc>
        <w:tc>
          <w:tcPr>
            <w:tcW w:w="2340" w:type="dxa"/>
          </w:tcPr>
          <w:p>
            <w:pPr/>
            <w:r>
              <w:t xml:space="preserve">Moyen</w:t>
            </w:r>
          </w:p>
        </w:tc>
        <w:tc>
          <w:tcPr>
            <w:tcW w:w="2340" w:type="dxa"/>
          </w:tcPr>
          <w:p>
            <w:pPr/>
            <w:r>
              <w:t xml:space="preserve">Partagé</w:t>
            </w:r>
          </w:p>
        </w:tc>
        <w:tc>
          <w:tcPr>
            <w:tcW w:w="2340" w:type="dxa"/>
          </w:tcPr>
          <w:p>
            <w:pPr/>
            <w:r>
              <w:t xml:space="preserve">Ouvrages dimensionnés pour les crues centennales, assurances tous risques chantier</w:t>
            </w:r>
          </w:p>
        </w:tc>
      </w:tr>
    </w:tbl>
    <w:p>
      <w:pPr>
        <w:pStyle w:val="Heading2"/>
      </w:pPr>
      <w:r>
        <w:t xml:space="preserve">8. Impacts socio-économiques et environnementaux</w:t>
      </w:r>
    </w:p>
    <w:p>
      <w:pPr/>
      <w:r>
        <w:t xml:space="preserve">La route réduira fortement les temps et coûts de transport entre Uvira et Kalemie ; les gains chiffrés seront établis par l'étude socio-économique.</w:t>
      </w:r>
    </w:p>
    <w:p>
      <w:pPr/>
      <w:r>
        <w:rPr>
          <w:b/>
        </w:rPr>
        <w:t xml:space="preserve">Impacts positifs attendus</w:t>
      </w:r>
    </w:p>
    <w:p>
      <w:pPr>
        <w:pStyle w:val="ListParagraph"/>
        <w:numPr>
          <w:ilvl w:val="0"/>
          <w:numId w:val="9"/>
        </w:numPr>
      </w:pPr>
      <w:r>
        <w:t xml:space="preserve">Baisse des coûts de transport et des prix des produits de base dans les territoires d'Uvira, Fizi et Kalemie.</w:t>
      </w:r>
    </w:p>
    <w:p>
      <w:pPr>
        <w:pStyle w:val="ListParagraph"/>
        <w:numPr>
          <w:ilvl w:val="0"/>
          <w:numId w:val="9"/>
        </w:numPr>
      </w:pPr>
      <w:r>
        <w:t xml:space="preserve">Écoulement des productions agricoles et halieutiques (manioc, maïs, huile de palme, poisson du lac).</w:t>
      </w:r>
    </w:p>
    <w:p>
      <w:pPr>
        <w:pStyle w:val="ListParagraph"/>
        <w:numPr>
          <w:ilvl w:val="0"/>
          <w:numId w:val="9"/>
        </w:numPr>
      </w:pPr>
      <w:r>
        <w:t xml:space="preserve">Accès permanent aux hôpitaux, écoles et services administratifs.</w:t>
      </w:r>
    </w:p>
    <w:p>
      <w:pPr>
        <w:pStyle w:val="ListParagraph"/>
        <w:numPr>
          <w:ilvl w:val="0"/>
          <w:numId w:val="9"/>
        </w:numPr>
      </w:pPr>
      <w:r>
        <w:t xml:space="preserve">Emplois : plusieurs milliers d'emplois directs pendant les travaux, à pourvoir en priorité localement, et des emplois permanents pour l'exploitation et l'entretien.</w:t>
      </w:r>
    </w:p>
    <w:p>
      <w:pPr>
        <w:pStyle w:val="ListParagraph"/>
        <w:numPr>
          <w:ilvl w:val="0"/>
          <w:numId w:val="9"/>
        </w:numPr>
      </w:pPr>
      <w:r>
        <w:t xml:space="preserve">Recettes publiques nouvelles : droits de douane et taxes liés au commerce régional.</w:t>
      </w:r>
    </w:p>
    <w:p>
      <w:pPr/>
      <w:r>
        <w:rPr>
          <w:b/>
        </w:rPr>
        <w:t xml:space="preserve">Gestion environnementale et sociale</w:t>
      </w:r>
    </w:p>
    <w:p>
      <w:pPr>
        <w:pStyle w:val="ListParagraph"/>
        <w:numPr>
          <w:ilvl w:val="0"/>
          <w:numId w:val="10"/>
        </w:numPr>
      </w:pPr>
      <w:r>
        <w:t xml:space="preserve">Étude d'impact environnemental et social (EIES) approuvée par l'Agence Congolaise de l'Environnement avant le démarrage des travaux.</w:t>
      </w:r>
    </w:p>
    <w:p>
      <w:pPr>
        <w:pStyle w:val="ListParagraph"/>
        <w:numPr>
          <w:ilvl w:val="0"/>
          <w:numId w:val="10"/>
        </w:numPr>
      </w:pPr>
      <w:r>
        <w:t xml:space="preserve">Application des normes de performance de la SFI et des politiques de sauvegarde des bailleurs.</w:t>
      </w:r>
    </w:p>
    <w:p>
      <w:pPr>
        <w:pStyle w:val="ListParagraph"/>
        <w:numPr>
          <w:ilvl w:val="0"/>
          <w:numId w:val="10"/>
        </w:numPr>
      </w:pPr>
      <w:r>
        <w:t xml:space="preserve">Protection des rives du lac Tanganyika et des zones sensibles ; remise en état des carrières et emprunts.</w:t>
      </w:r>
    </w:p>
    <w:p>
      <w:pPr>
        <w:pStyle w:val="ListParagraph"/>
        <w:numPr>
          <w:ilvl w:val="0"/>
          <w:numId w:val="10"/>
        </w:numPr>
      </w:pPr>
      <w:r>
        <w:t xml:space="preserve">Plan d'action de réinstallation pour les personnes affectées, avec indemnisation préalable.</w:t>
      </w:r>
    </w:p>
    <w:p>
      <w:pPr>
        <w:pStyle w:val="ListParagraph"/>
        <w:numPr>
          <w:ilvl w:val="0"/>
          <w:numId w:val="10"/>
        </w:numPr>
      </w:pPr>
      <w:r>
        <w:t xml:space="preserve">Mécanisme de gestion des plaintes, prévention des violences basées sur le genre et sensibilisation au VIH en chantier.</w:t>
      </w:r>
    </w:p>
    <w:p>
      <w:pPr>
        <w:pStyle w:val="ListParagraph"/>
        <w:numPr>
          <w:ilvl w:val="0"/>
          <w:numId w:val="10"/>
        </w:numPr>
      </w:pPr>
      <w:r>
        <w:t xml:space="preserve">Cahier des charges social négocié avec les communautés riveraines (points d'eau, écoles, centres de santé).</w:t>
      </w:r>
    </w:p>
    <w:p>
      <w:pPr>
        <w:pStyle w:val="Heading2"/>
      </w:pPr>
      <w:r>
        <w:t xml:space="preserve">9. Présentation du Groupe EIS-EKA</w:t>
      </w:r>
    </w:p>
    <w:p>
      <w:pPr/>
      <w:r>
        <w:t xml:space="preserve">Le Groupe EIS-EKA porte le projet en tant que développeur et actionnaire de référence, entouré de partenaires techniques et financiers spécialisés. Les éléments entre crochets sont à compléter par le Groupe.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Rubrique</w:t>
            </w:r>
          </w:p>
        </w:tc>
        <w:tc>
          <w:tcPr>
            <w:tcW w:w="4680" w:type="dxa"/>
            <w:shd w:val="clear" w:color="auto" w:fill="F2F2F2"/>
          </w:tcPr>
          <w:p>
            <w:pPr/>
            <w:r>
              <w:t xml:space="preserve">Information</w:t>
            </w:r>
          </w:p>
        </w:tc>
      </w:tr>
      <w:tr>
        <w:tc>
          <w:tcPr>
            <w:tcW w:w="4680" w:type="dxa"/>
          </w:tcPr>
          <w:p>
            <w:pPr/>
            <w:r>
              <w:t xml:space="preserve">Raison sociale et forme juridique</w:t>
            </w:r>
          </w:p>
        </w:tc>
        <w:tc>
          <w:tcPr>
            <w:tcW w:w="4680" w:type="dxa"/>
          </w:tcPr>
          <w:p>
            <w:pPr/>
            <w:r>
              <w:t xml:space="preserve">[à compléter]</w:t>
            </w:r>
          </w:p>
        </w:tc>
      </w:tr>
      <w:tr>
        <w:tc>
          <w:tcPr>
            <w:tcW w:w="4680" w:type="dxa"/>
          </w:tcPr>
          <w:p>
            <w:pPr/>
            <w:r>
              <w:t xml:space="preserve">Siège et représentation en RDC</w:t>
            </w:r>
          </w:p>
        </w:tc>
        <w:tc>
          <w:tcPr>
            <w:tcW w:w="4680" w:type="dxa"/>
          </w:tcPr>
          <w:p>
            <w:pPr/>
            <w:r>
              <w:t xml:space="preserve">[à compléter]</w:t>
            </w:r>
          </w:p>
        </w:tc>
      </w:tr>
      <w:tr>
        <w:tc>
          <w:tcPr>
            <w:tcW w:w="4680" w:type="dxa"/>
          </w:tcPr>
          <w:p>
            <w:pPr/>
            <w:r>
              <w:t xml:space="preserve">Domaines d'activité</w:t>
            </w:r>
          </w:p>
        </w:tc>
        <w:tc>
          <w:tcPr>
            <w:tcW w:w="4680" w:type="dxa"/>
          </w:tcPr>
          <w:p>
            <w:pPr/>
            <w:r>
              <w:t xml:space="preserve">[infrastructures, BTP, ingénierie, énergie…]</w:t>
            </w:r>
          </w:p>
        </w:tc>
      </w:tr>
      <w:tr>
        <w:tc>
          <w:tcPr>
            <w:tcW w:w="4680" w:type="dxa"/>
          </w:tcPr>
          <w:p>
            <w:pPr/>
            <w:r>
              <w:t xml:space="preserve">Références de projets routiers ou d'infrastructures</w:t>
            </w:r>
          </w:p>
        </w:tc>
        <w:tc>
          <w:tcPr>
            <w:tcW w:w="4680" w:type="dxa"/>
          </w:tcPr>
          <w:p>
            <w:pPr/>
            <w:r>
              <w:t xml:space="preserve">[projets, pays, montants, années]</w:t>
            </w:r>
          </w:p>
        </w:tc>
      </w:tr>
      <w:tr>
        <w:tc>
          <w:tcPr>
            <w:tcW w:w="4680" w:type="dxa"/>
          </w:tcPr>
          <w:p>
            <w:pPr/>
            <w:r>
              <w:t xml:space="preserve">Capacité financière</w:t>
            </w:r>
          </w:p>
        </w:tc>
        <w:tc>
          <w:tcPr>
            <w:tcW w:w="4680" w:type="dxa"/>
          </w:tcPr>
          <w:p>
            <w:pPr/>
            <w:r>
              <w:t xml:space="preserve">[chiffre d'affaires, fonds propres, lettres de banque]</w:t>
            </w:r>
          </w:p>
        </w:tc>
      </w:tr>
      <w:tr>
        <w:tc>
          <w:tcPr>
            <w:tcW w:w="4680" w:type="dxa"/>
          </w:tcPr>
          <w:p>
            <w:pPr/>
            <w:r>
              <w:t xml:space="preserve">Partenaires techniques (constructeur, bureau d'études)</w:t>
            </w:r>
          </w:p>
        </w:tc>
        <w:tc>
          <w:tcPr>
            <w:tcW w:w="4680" w:type="dxa"/>
          </w:tcPr>
          <w:p>
            <w:pPr/>
            <w:r>
              <w:t xml:space="preserve">[noms et lettres d'intention]</w:t>
            </w:r>
          </w:p>
        </w:tc>
      </w:tr>
      <w:tr>
        <w:tc>
          <w:tcPr>
            <w:tcW w:w="4680" w:type="dxa"/>
          </w:tcPr>
          <w:p>
            <w:pPr/>
            <w:r>
              <w:t xml:space="preserve">Partenaires financiers</w:t>
            </w:r>
          </w:p>
        </w:tc>
        <w:tc>
          <w:tcPr>
            <w:tcW w:w="4680" w:type="dxa"/>
          </w:tcPr>
          <w:p>
            <w:pPr/>
            <w:r>
              <w:t xml:space="preserve">[banques, fonds, lettres d'intérêt]</w:t>
            </w:r>
          </w:p>
        </w:tc>
      </w:tr>
      <w:tr>
        <w:tc>
          <w:tcPr>
            <w:tcW w:w="4680" w:type="dxa"/>
          </w:tcPr>
          <w:p>
            <w:pPr/>
            <w:r>
              <w:t xml:space="preserve">Expérience en PPP</w:t>
            </w:r>
          </w:p>
        </w:tc>
        <w:tc>
          <w:tcPr>
            <w:tcW w:w="4680" w:type="dxa"/>
          </w:tcPr>
          <w:p>
            <w:pPr/>
            <w:r>
              <w:t xml:space="preserve">[concessions, contrats d'entretien, etc.]</w:t>
            </w:r>
          </w:p>
        </w:tc>
      </w:tr>
    </w:tbl>
    <w:p>
      <w:pPr/>
      <w:r>
        <w:rPr>
          <w:b/>
        </w:rPr>
        <w:t xml:space="preserve">Organisation proposée du consortium</w:t>
      </w:r>
    </w:p>
    <w:p>
      <w:pPr>
        <w:pStyle w:val="ListParagraph"/>
        <w:numPr>
          <w:ilvl w:val="0"/>
          <w:numId w:val="11"/>
        </w:numPr>
      </w:pPr>
      <w:r>
        <w:t xml:space="preserve">EIS-EKA : chef de file, développement, relations avec l'État, actionnaire principal.</w:t>
      </w:r>
    </w:p>
    <w:p>
      <w:pPr>
        <w:pStyle w:val="ListParagraph"/>
        <w:numPr>
          <w:ilvl w:val="0"/>
          <w:numId w:val="11"/>
        </w:numPr>
      </w:pPr>
      <w:r>
        <w:t xml:space="preserve">Entreprise générale de construction (EPC) de référence internationale, associée à des PME congolaises.</w:t>
      </w:r>
    </w:p>
    <w:p>
      <w:pPr>
        <w:pStyle w:val="ListParagraph"/>
        <w:numPr>
          <w:ilvl w:val="0"/>
          <w:numId w:val="11"/>
        </w:numPr>
      </w:pPr>
      <w:r>
        <w:t xml:space="preserve">Bureau d'études et d'ingénierie pour les études APS, APD et l'EIES.</w:t>
      </w:r>
    </w:p>
    <w:p>
      <w:pPr>
        <w:pStyle w:val="ListParagraph"/>
        <w:numPr>
          <w:ilvl w:val="0"/>
          <w:numId w:val="11"/>
        </w:numPr>
      </w:pPr>
      <w:r>
        <w:t xml:space="preserve">Opérateur d'exploitation et d'entretien routier.</w:t>
      </w:r>
    </w:p>
    <w:p>
      <w:pPr>
        <w:pStyle w:val="ListParagraph"/>
        <w:numPr>
          <w:ilvl w:val="0"/>
          <w:numId w:val="11"/>
        </w:numPr>
      </w:pPr>
      <w:r>
        <w:t xml:space="preserve">Conseillers juridique et financier spécialisés en PPP.</w:t>
      </w:r>
    </w:p>
    <w:p>
      <w:pPr>
        <w:pStyle w:val="Heading2"/>
      </w:pPr>
      <w:r>
        <w:t xml:space="preserve">10. Prochaines étapes et demandes au Ministère</w:t>
      </w:r>
    </w:p>
    <w:p>
      <w:pPr/>
      <w:r>
        <w:t xml:space="preserve">La décision attendue du Ministre est la signature d'un Protocole d'Accord autorisant EIS-EKA à réaliser les études détaillées, à ses frais, dans un délai de 9 mois.</w:t>
      </w:r>
    </w:p>
    <w:p>
      <w:pPr/>
      <w:r>
        <w:rPr>
          <w:b/>
        </w:rPr>
        <w:t xml:space="preserve">Ce que nous demandons au Ministère</w:t>
      </w:r>
    </w:p>
    <w:p>
      <w:pPr>
        <w:pStyle w:val="ListParagraph"/>
        <w:numPr>
          <w:ilvl w:val="0"/>
          <w:numId w:val="12"/>
        </w:numPr>
      </w:pPr>
      <w:r>
        <w:t xml:space="preserve">Signer un Protocole d'Accord (MoU) reconnaissant l'offre d'EIS-EKA et fixant le calendrier des études et des négociations.</w:t>
      </w:r>
    </w:p>
    <w:p>
      <w:pPr>
        <w:pStyle w:val="ListParagraph"/>
        <w:numPr>
          <w:ilvl w:val="0"/>
          <w:numId w:val="12"/>
        </w:numPr>
      </w:pPr>
      <w:r>
        <w:t xml:space="preserve">Désigner une commission technique mixte (Ministère, Office des Routes, Cellule Infrastructures, organe PPP, Finances).</w:t>
      </w:r>
    </w:p>
    <w:p>
      <w:pPr>
        <w:pStyle w:val="ListParagraph"/>
        <w:numPr>
          <w:ilvl w:val="0"/>
          <w:numId w:val="12"/>
        </w:numPr>
      </w:pPr>
      <w:r>
        <w:t xml:space="preserve">Transmettre les données disponibles : études antérieures, comptages de trafic, inventaires d'ouvrages.</w:t>
      </w:r>
    </w:p>
    <w:p>
      <w:pPr>
        <w:pStyle w:val="ListParagraph"/>
        <w:numPr>
          <w:ilvl w:val="0"/>
          <w:numId w:val="12"/>
        </w:numPr>
      </w:pPr>
      <w:r>
        <w:t xml:space="preserve">Faciliter l'accès au terrain et la sécurité des équipes d'études avec les gouvernorats et les services de sécurité.</w:t>
      </w:r>
    </w:p>
    <w:p>
      <w:pPr>
        <w:pStyle w:val="ListParagraph"/>
        <w:numPr>
          <w:ilvl w:val="0"/>
          <w:numId w:val="12"/>
        </w:numPr>
      </w:pPr>
      <w:r>
        <w:t xml:space="preserve">Approuver le principe d'un péage sur le tronçon et engager, avec le Ministère des Finances et le FONER, les démarches pour la garantie de recettes minimales.</w:t>
      </w:r>
    </w:p>
    <w:p>
      <w:pPr/>
      <w:r>
        <w:rPr>
          <w:b/>
        </w:rPr>
        <w:t xml:space="preserve">Ce à quoi EIS-EKA s'engage</w:t>
      </w:r>
    </w:p>
    <w:p>
      <w:pPr>
        <w:pStyle w:val="ListParagraph"/>
        <w:numPr>
          <w:ilvl w:val="0"/>
          <w:numId w:val="13"/>
        </w:numPr>
      </w:pPr>
      <w:r>
        <w:t xml:space="preserve">Financer et livrer l'étude de faisabilité complète : APS, APD, étude de trafic, modèle financier, EIES.</w:t>
      </w:r>
    </w:p>
    <w:p>
      <w:pPr>
        <w:pStyle w:val="ListParagraph"/>
        <w:numPr>
          <w:ilvl w:val="0"/>
          <w:numId w:val="13"/>
        </w:numPr>
      </w:pPr>
      <w:r>
        <w:t xml:space="preserve">Présenter une offre technique et financière ferme à l'issue des études.</w:t>
      </w:r>
    </w:p>
    <w:p>
      <w:pPr>
        <w:pStyle w:val="ListParagraph"/>
        <w:numPr>
          <w:ilvl w:val="0"/>
          <w:numId w:val="13"/>
        </w:numPr>
      </w:pPr>
      <w:r>
        <w:t xml:space="preserve">Constituer le consortium et obtenir les lettres d'intérêt des prêteurs.</w:t>
      </w:r>
    </w:p>
    <w:p>
      <w:pPr/>
      <w:r>
        <w:rPr>
          <w:b/>
        </w:rPr>
        <w:t xml:space="preserve">Calendrier visé</w:t>
      </w:r>
    </w:p>
    <w:p>
      <w:pPr/>
      <w:r>
        <w:drawing>
          <wp:inline distT="0" distB="0" distL="0" distR="0">
            <wp:extent cx="5486400" cy="2579914"/>
            <wp:docPr id="1" name="image1" descr="Calendrier visé · du Protocole d'Accord à la mise en service"/>
            <a:graphic xmlns:a="http://schemas.openxmlformats.org/drawingml/2006/main">
              <a:graphicData uri="http://schemas.openxmlformats.org/drawingml/2006/picture">
                <pic:pic xmlns:pic="http://schemas.openxmlformats.org/drawingml/2006/picture">
                  <pic:nvPicPr>
                    <pic:cNvPr id="1" name="image1" descr="Calendrier visé · du Protocole d'Accord à la mise en service"/>
                    <pic:cNvPicPr/>
                  </pic:nvPicPr>
                  <pic:blipFill>
                    <a:blip r:embed="rId3"/>
                    <a:stretch>
                      <a:fillRect/>
                    </a:stretch>
                  </pic:blipFill>
                  <pic:spPr>
                    <a:xfrm>
                      <a:off x="0" y="0"/>
                      <a:ext cx="5486400" cy="2579914"/>
                    </a:xfrm>
                    <a:prstGeom prst="rect">
                      <a:avLst/>
                    </a:prstGeom>
                  </pic:spPr>
                </pic:pic>
              </a:graphicData>
            </a:graphic>
          </wp:inline>
        </w:drawing>
      </w:r>
    </w:p>
    <w:p>
      <w:pPr/>
      <w:r>
        <w:t xml:space="preserve">Calendrier visé · du Protocole d'Accord à la mise en service</w:t>
      </w:r>
    </w:p>
    <w:p>
      <w:pPr/>
      <w:r>
        <w:t xml:space="preserve">Le lot 1 (Uvira – Baraka) démarre dès le bouclage financier et peut être mis en service avant les lots 2 et 3, ce qui permet de percevoir les premières recettes de péage ; l'exploitation dure ensuite 26 ans.</w:t>
      </w:r>
    </w:p>
    <w:p>
      <w:pPr>
        <w:pStyle w:val="Heading2"/>
      </w:pPr>
      <w:r>
        <w:t xml:space="preserve">11. Annexes à joindre au dossier papier</w:t>
      </w:r>
    </w:p>
    <w:p>
      <w:pPr>
        <w:pStyle w:val="ListParagraph"/>
        <w:numPr>
          <w:ilvl w:val="0"/>
          <w:numId w:val="14"/>
        </w:numPr>
      </w:pPr>
      <w:r>
        <w:t xml:space="preserve">☒ Carte du tracé Uvira – Kalemie avec découpage en lots</w:t>
      </w:r>
    </w:p>
    <w:p>
      <w:pPr>
        <w:pStyle w:val="ListParagraph"/>
        <w:numPr>
          <w:ilvl w:val="0"/>
          <w:numId w:val="14"/>
        </w:numPr>
      </w:pPr>
      <w:r>
        <w:t xml:space="preserve">☒ Statuts, RCCM, identification nationale et numéro fiscal du Groupe EIS-EKA</w:t>
      </w:r>
    </w:p>
    <w:p>
      <w:pPr>
        <w:pStyle w:val="ListParagraph"/>
        <w:numPr>
          <w:ilvl w:val="0"/>
          <w:numId w:val="14"/>
        </w:numPr>
      </w:pPr>
      <w:r>
        <w:t xml:space="preserve">☐ États financiers certifiés des 3 derniers exercices</w:t>
      </w:r>
    </w:p>
    <w:p>
      <w:pPr>
        <w:pStyle w:val="ListParagraph"/>
        <w:numPr>
          <w:ilvl w:val="0"/>
          <w:numId w:val="14"/>
        </w:numPr>
      </w:pPr>
      <w:r>
        <w:t xml:space="preserve">☐ Attestations de références de projets similaires</w:t>
      </w:r>
    </w:p>
    <w:p>
      <w:pPr>
        <w:pStyle w:val="ListParagraph"/>
        <w:numPr>
          <w:ilvl w:val="0"/>
          <w:numId w:val="14"/>
        </w:numPr>
      </w:pPr>
      <w:r>
        <w:t xml:space="preserve">☐ Lettres d'intention des partenaires techniques (constructeur, bureau d'études)</w:t>
      </w:r>
    </w:p>
    <w:p>
      <w:pPr>
        <w:pStyle w:val="ListParagraph"/>
        <w:numPr>
          <w:ilvl w:val="0"/>
          <w:numId w:val="14"/>
        </w:numPr>
      </w:pPr>
      <w:r>
        <w:t xml:space="preserve">☐ Lettres d'intérêt des partenaires financiers</w:t>
      </w:r>
    </w:p>
    <w:p>
      <w:pPr>
        <w:pStyle w:val="ListParagraph"/>
        <w:numPr>
          <w:ilvl w:val="0"/>
          <w:numId w:val="14"/>
        </w:numPr>
      </w:pPr>
      <w:r>
        <w:t xml:space="preserve">☐ Projet de Protocole d'Accord (MoU) entre le Ministère et EIS-EKA</w:t>
      </w:r>
    </w:p>
    <w:p>
      <w:pPr>
        <w:pStyle w:val="ListParagraph"/>
        <w:numPr>
          <w:ilvl w:val="0"/>
          <w:numId w:val="14"/>
        </w:numPr>
      </w:pPr>
      <w:r>
        <w:t xml:space="preserve">☐ Termes de référence des études de faisabilité et de l'EIES</w:t>
      </w:r>
    </w:p>
    <w:p>
      <w:pPr>
        <w:pStyle w:val="ListParagraph"/>
        <w:numPr>
          <w:ilvl w:val="0"/>
          <w:numId w:val="14"/>
        </w:numPr>
      </w:pPr>
      <w:r>
        <w:t xml:space="preserve">☐ Photos et rapport de reconnaissance de terrain, si disponibles</w:t>
      </w:r>
    </w:p>
    <w:p>
      <w:pPr/>
      <w:r>
        <w:rPr>
          <w:i/>
        </w:rPr>
        <w:t xml:space="preserve">Note : les coûts, longueurs et délais de ce document sont des estimations préliminaires. Ils seront confirmés par les études de faisabilité détaillées.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1"/>
    <w:lvlOverride w:ilvl="0">
      <w:startOverride w:val="1"/>
    </w:lvlOverride>
  </w:num>
  <w:num w:numId="13">
    <w:abstractNumId w:val="0"/>
  </w:num>
  <w:num w:numId="14">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Proposition technique de faisabilité – Route Nationale n°5 (RN5), tronçon Uvira</dc:title>
  <dc:description>Claude Docs node/1c18cb91-d464@28 docx-w6</dc:description>
  <cp:revision>28</cp:revision>
</cp:coreProperties>
</file>