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Proposition technique de faisabilité – Route Nationale n°5 (RN5), tronçon Uvira – Kalemie</w:t>
      </w:r>
    </w:p>
    <w:p>
      <w:pPr/>
      <w:r>
        <w:rPr>
          <w:b/>
        </w:rPr>
        <w:t xml:space="preserve">Concession de réouverture, d'exploitation à péage et d'amélioration progressive, autofinancée par le Groupe EIS-EKA</w:t>
      </w:r>
    </w:p>
    <w:p>
      <w:pPr/>
      <w:r>
        <w:t xml:space="preserve">Oct 7, 2026</w:t>
      </w:r>
      <w:r>
        <w:t xml:space="preserve"> · </w:t>
      </w:r>
      <w:r>
        <w:t xml:space="preserve">@Elysee</w:t>
      </w:r>
    </w:p>
    <w:p>
      <w:pPr>
        <w:pStyle w:val="Heading2"/>
      </w:pPr>
      <w:r>
        <w:t xml:space="preserve">Lettre de transmission</w:t>
      </w:r>
    </w:p>
    <w:p>
      <w:pPr/>
      <w:r>
        <w:rPr>
          <w:b/>
        </w:rPr>
        <w:t xml:space="preserve">Groupe EIS-EKA</w:t>
      </w:r>
      <w:r>
        <w:t xml:space="preserve"> — [adresse du siège], [RCCM / Id. Nat.], [téléphone], [e-mail]</w:t>
      </w:r>
    </w:p>
    <w:p>
      <w:pPr/>
      <w:r>
        <w:t xml:space="preserve">Kinshasa, le [date]</w:t>
      </w:r>
    </w:p>
    <w:p>
      <w:pPr/>
      <w:r>
        <w:t xml:space="preserve">À Son Excellence Monsieur le Ministre des Infrastructures et Travaux Publics République Démocratique du Congo — Kinshasa/Gombe</w:t>
      </w:r>
    </w:p>
    <w:p>
      <w:pPr/>
      <w:r>
        <w:rPr>
          <w:b/>
        </w:rPr>
        <w:t xml:space="preserve">Objet : Transmission de la proposition technique de faisabilité pour la réouverture, l'exploitation à péage et l'amélioration progressive de la RN5, tronçon Uvira – Kalemie, sur fonds propres du Groupe EIS-EKA</w:t>
      </w:r>
    </w:p>
    <w:p>
      <w:pPr/>
      <w:r>
        <w:t xml:space="preserve">Excellence Monsieur le Ministre,</w:t>
      </w:r>
    </w:p>
    <w:p>
      <w:pPr/>
      <w:r>
        <w:t xml:space="preserve">Suite à l'accueil favorable que vous avez bien voulu réserver à notre intention de partenariat, le Groupe EIS-EKA a l'honneur de vous transmettre sa proposition technique de faisabilité pour le tronçon Uvira – Kalemie de la Route Nationale n°5.</w:t>
      </w:r>
    </w:p>
    <w:p>
      <w:pPr/>
      <w:r>
        <w:t xml:space="preserve">Nous proposons de rouvrir ce tronçon sur nos fonds propres, sans aucune contribution financière de l'État, afin de le rendre praticable toute l'année en route en terre. En contrepartie, nous sollicitons le droit d'exploiter des postes de péage implantés environ tous les 50 km. Les recettes serviront à entretenir la route, à récupérer notre investissement et à améliorer progressivement la chaussée jusqu'au bitumage, section par section, selon les moyens disponibles. Ce montage s'inscrit dans le cadre de la Loi n°18/016 du 9 juillet 2018 relative aux partenariats public-privé.</w:t>
      </w:r>
    </w:p>
    <w:p>
      <w:pPr/>
      <w:r>
        <w:t xml:space="preserve">Nous sollicitons la signature d'une convention de concession et l'autorisation de perception du péage, afin de démarrer les travaux de réouverture dans les meilleurs délais.</w:t>
      </w:r>
    </w:p>
    <w:p>
      <w:pPr/>
      <w:r>
        <w:t xml:space="preserve">Nous restons à votre disposition pour une présentation devant vos services et vous prions d'agréer, Excellence Monsieur le Ministre, l'expression de notre très haute considération.</w:t>
      </w:r>
    </w:p>
    <w:p>
      <w:pPr/>
      <w:r>
        <w:t xml:space="preserve">[Nom et titre du signataire] Directeur Général, Groupe EIS-EKA [Signature et cachet]</w:t>
      </w:r>
    </w:p>
    <w:p>
      <w:pPr/>
      <w:r>
        <w:rPr>
          <w:i/>
        </w:rPr>
        <w:t xml:space="preserve">Copies : Ministre du Plan ; Ministre des Finances ; Directeur Général de l'Office des Routes ; Gouverneurs du Sud-Kivu et du Tanganyika.</w:t>
      </w:r>
    </w:p>
    <w:p>
      <w:pPr>
        <w:pStyle w:val="Heading2"/>
      </w:pPr>
      <w:r>
        <w:t xml:space="preserve">1. Résumé exécutif</w:t>
      </w:r>
    </w:p>
    <w:p>
      <w:pPr/>
      <w:r>
        <w:t xml:space="preserve">Le Groupe EIS-EKA propose de rouvrir le tronçon Uvira – Kalemie de la RN5 (environ 420 km, à confirmer par levés) entièrement sur ses fonds propres, de le rendre praticable toute l'année en route en terre, puis de l'améliorer par phases jusqu'au bitumage, financé par les recettes de péage.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Élément</w:t>
            </w:r>
          </w:p>
        </w:tc>
        <w:tc>
          <w:tcPr>
            <w:tcW w:w="4680" w:type="dxa"/>
            <w:shd w:val="clear" w:color="auto" w:fill="F2F2F2"/>
          </w:tcPr>
          <w:p>
            <w:pPr/>
            <w:r>
              <w:t xml:space="preserve">Proposition</w:t>
            </w:r>
          </w:p>
        </w:tc>
      </w:tr>
      <w:tr>
        <w:tc>
          <w:tcPr>
            <w:tcW w:w="4680" w:type="dxa"/>
          </w:tcPr>
          <w:p>
            <w:pPr/>
            <w:r>
              <w:t xml:space="preserve">Ouvrage</w:t>
            </w:r>
          </w:p>
        </w:tc>
        <w:tc>
          <w:tcPr>
            <w:tcW w:w="4680" w:type="dxa"/>
          </w:tcPr>
          <w:p>
            <w:pPr/>
            <w:r>
              <w:t xml:space="preserve">RN5 Uvira (Sud-Kivu) – Kalemie (Tanganyika), environ 420 km</w:t>
            </w:r>
          </w:p>
        </w:tc>
      </w:tr>
      <w:tr>
        <w:tc>
          <w:tcPr>
            <w:tcW w:w="4680" w:type="dxa"/>
          </w:tcPr>
          <w:p>
            <w:pPr/>
            <w:r>
              <w:t xml:space="preserve">Modèle</w:t>
            </w:r>
          </w:p>
        </w:tc>
        <w:tc>
          <w:tcPr>
            <w:tcW w:w="4680" w:type="dxa"/>
          </w:tcPr>
          <w:p>
            <w:pPr/>
            <w:r>
              <w:t xml:space="preserve">Concession Réhabiliter-Exploiter-Transférer à péage, 30 ans</w:t>
            </w:r>
          </w:p>
        </w:tc>
      </w:tr>
      <w:tr>
        <w:tc>
          <w:tcPr>
            <w:tcW w:w="4680" w:type="dxa"/>
          </w:tcPr>
          <w:p>
            <w:pPr/>
            <w:r>
              <w:t xml:space="preserve">Financement</w:t>
            </w:r>
          </w:p>
        </w:tc>
        <w:tc>
          <w:tcPr>
            <w:tcW w:w="4680" w:type="dxa"/>
          </w:tcPr>
          <w:p>
            <w:pPr/>
            <w:r>
              <w:t xml:space="preserve">100 % fonds propres du Groupe EIS-EKA, aucune contribution ni garantie financière de l'État</w:t>
            </w:r>
          </w:p>
        </w:tc>
      </w:tr>
      <w:tr>
        <w:tc>
          <w:tcPr>
            <w:tcW w:w="4680" w:type="dxa"/>
          </w:tcPr>
          <w:p>
            <w:pPr/>
            <w:r>
              <w:t xml:space="preserve">Phase 1 : réouverture en terre</w:t>
            </w:r>
          </w:p>
        </w:tc>
        <w:tc>
          <w:tcPr>
            <w:tcW w:w="4680" w:type="dxa"/>
          </w:tcPr>
          <w:p>
            <w:pPr/>
            <w:r>
              <w:t xml:space="preserve">25 à 45 millions USD, 12 à 18 mois</w:t>
            </w:r>
          </w:p>
        </w:tc>
      </w:tr>
      <w:tr>
        <w:tc>
          <w:tcPr>
            <w:tcW w:w="4680" w:type="dxa"/>
          </w:tcPr>
          <w:p>
            <w:pPr/>
            <w:r>
              <w:t xml:space="preserve">Péages</w:t>
            </w:r>
          </w:p>
        </w:tc>
        <w:tc>
          <w:tcPr>
            <w:tcW w:w="4680" w:type="dxa"/>
          </w:tcPr>
          <w:p>
            <w:pPr/>
            <w:r>
              <w:t xml:space="preserve">Environ 8 postes, un tous les 50 km, ouverts uniquement sur les sections rouvertes</w:t>
            </w:r>
          </w:p>
        </w:tc>
      </w:tr>
      <w:tr>
        <w:tc>
          <w:tcPr>
            <w:tcW w:w="4680" w:type="dxa"/>
          </w:tcPr>
          <w:p>
            <w:pPr/>
            <w:r>
              <w:t xml:space="preserve">Amélioration</w:t>
            </w:r>
          </w:p>
        </w:tc>
        <w:tc>
          <w:tcPr>
            <w:tcW w:w="4680" w:type="dxa"/>
          </w:tcPr>
          <w:p>
            <w:pPr/>
            <w:r>
              <w:t xml:space="preserve">Rechargement latéritique, puis bitumage section par section, déclenché par les recettes disponibles</w:t>
            </w:r>
          </w:p>
        </w:tc>
      </w:tr>
      <w:tr>
        <w:tc>
          <w:tcPr>
            <w:tcW w:w="4680" w:type="dxa"/>
          </w:tcPr>
          <w:p>
            <w:pPr/>
            <w:r>
              <w:t xml:space="preserve">Part de l'État</w:t>
            </w:r>
          </w:p>
        </w:tc>
        <w:tc>
          <w:tcPr>
            <w:tcW w:w="4680" w:type="dxa"/>
          </w:tcPr>
          <w:p>
            <w:pPr/>
            <w:r>
              <w:t xml:space="preserve">Redevance sur les recettes, route transférée gratuitement en fin de concession</w:t>
            </w:r>
          </w:p>
        </w:tc>
      </w:tr>
      <w:tr>
        <w:tc>
          <w:tcPr>
            <w:tcW w:w="4680" w:type="dxa"/>
          </w:tcPr>
          <w:p>
            <w:pPr/>
            <w:r>
              <w:t xml:space="preserve">Demande au Ministère</w:t>
            </w:r>
          </w:p>
        </w:tc>
        <w:tc>
          <w:tcPr>
            <w:tcW w:w="4680" w:type="dxa"/>
          </w:tcPr>
          <w:p>
            <w:pPr/>
            <w:r>
              <w:t xml:space="preserve">Convention de concession et arrêté autorisant le péage et ses tarifs</w:t>
            </w:r>
          </w:p>
        </w:tc>
      </w:tr>
    </w:tbl>
    <w:p>
      <w:pPr/>
      <w:r>
        <w:t xml:space="preserve">Le principe est simple : pas de péage sans route praticable, et chaque dollar perçu au-delà de l'entretien et du retour sur investissement finance l'amélioration de la chaussée. Les chiffres de ce document sont des ordres de grandeur à consolider par les reconnaissances de terrain.</w:t>
      </w:r>
    </w:p>
    <w:p>
      <w:pPr>
        <w:pStyle w:val="Heading2"/>
      </w:pPr>
      <w:r>
        <w:t xml:space="preserve">2. Contexte et justification</w:t>
      </w:r>
    </w:p>
    <w:p>
      <w:pPr/>
      <w:r>
        <w:t xml:space="preserve">La RN5 longe la rive occidentale du lac Tanganyika ; son tronçon Uvira – Kalemie est aujourd'hui le maillon le plus dégradé entre le Kivu et le Katanga. Sa remise en état répond à quatre enjeux.</w:t>
      </w:r>
    </w:p>
    <w:p>
      <w:pPr>
        <w:pStyle w:val="ListParagraph"/>
        <w:numPr>
          <w:ilvl w:val="0"/>
          <w:numId w:val="2"/>
        </w:numPr>
      </w:pPr>
      <w:r>
        <w:rPr>
          <w:b/>
        </w:rPr>
        <w:t xml:space="preserve">Désenclavement intérieur.</w:t>
      </w:r>
      <w:r>
        <w:t xml:space="preserve"> Les territoires d'Uvira, de Fizi et de Kalemie dépendent du lac et de pistes impraticables en saison des pluies. Les prix des produits de base y sont élevés et les produits agricoles se perdent faute d'évacuation.</w:t>
      </w:r>
    </w:p>
    <w:p>
      <w:pPr>
        <w:pStyle w:val="ListParagraph"/>
        <w:numPr>
          <w:ilvl w:val="0"/>
          <w:numId w:val="2"/>
        </w:numPr>
      </w:pPr>
      <w:r>
        <w:rPr>
          <w:b/>
        </w:rPr>
        <w:t xml:space="preserve">Intégration nationale.</w:t>
      </w:r>
      <w:r>
        <w:t xml:space="preserve"> Le tronçon relie le Sud-Kivu au Tanganyika, puis au Haut-Katanga par la suite de la RN5. Il rapproche l'Est du pays des réseaux ferroviaires et portuaires nationaux.</w:t>
      </w:r>
    </w:p>
    <w:p>
      <w:pPr>
        <w:pStyle w:val="ListParagraph"/>
        <w:numPr>
          <w:ilvl w:val="0"/>
          <w:numId w:val="2"/>
        </w:numPr>
      </w:pPr>
      <w:r>
        <w:rPr>
          <w:b/>
        </w:rPr>
        <w:t xml:space="preserve">Corridor régional.</w:t>
      </w:r>
      <w:r>
        <w:t xml:space="preserve"> Uvira est à quelques kilomètres de Bujumbura ; Kalemie est reliée par le lac à Kigoma (Tanzanie) et au Corridor Central vers Dar es Salaam. La route renforce la position de la RDC dans les échanges de la Communauté d'Afrique de l'Est.</w:t>
      </w:r>
    </w:p>
    <w:p>
      <w:pPr>
        <w:pStyle w:val="ListParagraph"/>
        <w:numPr>
          <w:ilvl w:val="0"/>
          <w:numId w:val="2"/>
        </w:numPr>
      </w:pPr>
      <w:r>
        <w:rPr>
          <w:b/>
        </w:rPr>
        <w:t xml:space="preserve">Stabilisation et présence de l'État.</w:t>
      </w:r>
      <w:r>
        <w:t xml:space="preserve"> Une route permanente facilite le déploiement des services publics, de la sécurité et de l'aide humanitaire dans une zone marquée par l'insécurité.</w:t>
      </w:r>
    </w:p>
    <w:p>
      <w:pPr/>
      <w:r>
        <w:t xml:space="preserve">L'approche proposée permet de rouvrir la route rapidement, sans peser sur le budget de l'État : le Groupe EIS-EKA investit, le péage rembourse et finance l'entretien, et la route s'améliore au rythme des recettes.</w:t>
      </w:r>
    </w:p>
    <w:p>
      <w:pPr>
        <w:pStyle w:val="Heading2"/>
      </w:pPr>
      <w:r>
        <w:t xml:space="preserve">3. Description du tronçon et diagnostic</w:t>
      </w:r>
    </w:p>
    <w:p>
      <w:pPr/>
      <w:r>
        <w:t xml:space="preserve">Le tronçon part d'Uvira, longe le lac par Makobola, Swima et Baraka (territoire de Fizi), puis descend vers Kalemie à travers le nord de la province du Tanganyika. Le découpage ci-dessous est provisoire ; les longueurs seront fixées par les levés topographiques.</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Lot</w:t>
            </w:r>
          </w:p>
        </w:tc>
        <w:tc>
          <w:tcPr>
            <w:tcW w:w="1872" w:type="dxa"/>
            <w:shd w:val="clear" w:color="auto" w:fill="F2F2F2"/>
          </w:tcPr>
          <w:p>
            <w:pPr/>
            <w:r>
              <w:t xml:space="preserve">Section</w:t>
            </w:r>
          </w:p>
        </w:tc>
        <w:tc>
          <w:tcPr>
            <w:tcW w:w="1872" w:type="dxa"/>
            <w:shd w:val="clear" w:color="auto" w:fill="F2F2F2"/>
          </w:tcPr>
          <w:p>
            <w:pPr/>
            <w:r>
              <w:t xml:space="preserve">Province</w:t>
            </w:r>
          </w:p>
        </w:tc>
        <w:tc>
          <w:tcPr>
            <w:tcW w:w="1872" w:type="dxa"/>
            <w:shd w:val="clear" w:color="auto" w:fill="F2F2F2"/>
          </w:tcPr>
          <w:p>
            <w:pPr/>
            <w:r>
              <w:t xml:space="preserve">Longueur estimée</w:t>
            </w:r>
          </w:p>
        </w:tc>
        <w:tc>
          <w:tcPr>
            <w:tcW w:w="1872" w:type="dxa"/>
            <w:shd w:val="clear" w:color="auto" w:fill="F2F2F2"/>
          </w:tcPr>
          <w:p>
            <w:pPr/>
            <w:r>
              <w:t xml:space="preserve">État observé / supposé</w:t>
            </w:r>
          </w:p>
        </w:tc>
      </w:tr>
      <w:tr>
        <w:tc>
          <w:tcPr>
            <w:tcW w:w="1872" w:type="dxa"/>
          </w:tcPr>
          <w:p>
            <w:pPr/>
            <w:r>
              <w:t xml:space="preserve">1</w:t>
            </w:r>
          </w:p>
        </w:tc>
        <w:tc>
          <w:tcPr>
            <w:tcW w:w="1872" w:type="dxa"/>
          </w:tcPr>
          <w:p>
            <w:pPr/>
            <w:r>
              <w:t xml:space="preserve">Uvira – Baraka</w:t>
            </w:r>
          </w:p>
        </w:tc>
        <w:tc>
          <w:tcPr>
            <w:tcW w:w="1872" w:type="dxa"/>
          </w:tcPr>
          <w:p>
            <w:pPr/>
            <w:r>
              <w:t xml:space="preserve">Sud-Kivu</w:t>
            </w:r>
          </w:p>
        </w:tc>
        <w:tc>
          <w:tcPr>
            <w:tcW w:w="1872" w:type="dxa"/>
          </w:tcPr>
          <w:p>
            <w:pPr/>
            <w:r>
              <w:t xml:space="preserve">≈ 100 km</w:t>
            </w:r>
          </w:p>
        </w:tc>
        <w:tc>
          <w:tcPr>
            <w:tcW w:w="1872" w:type="dxa"/>
          </w:tcPr>
          <w:p>
            <w:pPr/>
            <w:r>
              <w:t xml:space="preserve">Route en terre ou ancien revêtement très dégradé, trafic local dense</w:t>
            </w:r>
          </w:p>
        </w:tc>
      </w:tr>
      <w:tr>
        <w:tc>
          <w:tcPr>
            <w:tcW w:w="1872" w:type="dxa"/>
          </w:tcPr>
          <w:p>
            <w:pPr/>
            <w:r>
              <w:t xml:space="preserve">2</w:t>
            </w:r>
          </w:p>
        </w:tc>
        <w:tc>
          <w:tcPr>
            <w:tcW w:w="1872" w:type="dxa"/>
          </w:tcPr>
          <w:p>
            <w:pPr/>
            <w:r>
              <w:t xml:space="preserve">Baraka – limite Sud-Kivu/Tanganyika</w:t>
            </w:r>
          </w:p>
        </w:tc>
        <w:tc>
          <w:tcPr>
            <w:tcW w:w="1872" w:type="dxa"/>
          </w:tcPr>
          <w:p>
            <w:pPr/>
            <w:r>
              <w:t xml:space="preserve">Sud-Kivu</w:t>
            </w:r>
          </w:p>
        </w:tc>
        <w:tc>
          <w:tcPr>
            <w:tcW w:w="1872" w:type="dxa"/>
          </w:tcPr>
          <w:p>
            <w:pPr/>
            <w:r>
              <w:t xml:space="preserve">≈ 120 km</w:t>
            </w:r>
          </w:p>
        </w:tc>
        <w:tc>
          <w:tcPr>
            <w:tcW w:w="1872" w:type="dxa"/>
          </w:tcPr>
          <w:p>
            <w:pPr/>
            <w:r>
              <w:t xml:space="preserve">Piste dégradée, zones d'érosion et de glissements le long des escarpements</w:t>
            </w:r>
          </w:p>
        </w:tc>
      </w:tr>
      <w:tr>
        <w:tc>
          <w:tcPr>
            <w:tcW w:w="1872" w:type="dxa"/>
          </w:tcPr>
          <w:p>
            <w:pPr/>
            <w:r>
              <w:t xml:space="preserve">3</w:t>
            </w:r>
          </w:p>
        </w:tc>
        <w:tc>
          <w:tcPr>
            <w:tcW w:w="1872" w:type="dxa"/>
          </w:tcPr>
          <w:p>
            <w:pPr/>
            <w:r>
              <w:t xml:space="preserve">Limite provinciale – Kalemie</w:t>
            </w:r>
          </w:p>
        </w:tc>
        <w:tc>
          <w:tcPr>
            <w:tcW w:w="1872" w:type="dxa"/>
          </w:tcPr>
          <w:p>
            <w:pPr/>
            <w:r>
              <w:t xml:space="preserve">Tanganyika</w:t>
            </w:r>
          </w:p>
        </w:tc>
        <w:tc>
          <w:tcPr>
            <w:tcW w:w="1872" w:type="dxa"/>
          </w:tcPr>
          <w:p>
            <w:pPr/>
            <w:r>
              <w:t xml:space="preserve">≈ 200 km</w:t>
            </w:r>
          </w:p>
        </w:tc>
        <w:tc>
          <w:tcPr>
            <w:tcW w:w="1872" w:type="dxa"/>
          </w:tcPr>
          <w:p>
            <w:pPr/>
            <w:r>
              <w:t xml:space="preserve">Piste souvent coupée en saison des pluies, ouvrages de franchissement à reconstruire</w:t>
            </w:r>
          </w:p>
        </w:tc>
      </w:tr>
    </w:tbl>
    <w:p>
      <w:pPr/>
      <w:r>
        <w:rPr>
          <w:b/>
        </w:rPr>
        <w:t xml:space="preserve">Principales contraintes identifiées</w:t>
      </w:r>
    </w:p>
    <w:p>
      <w:pPr>
        <w:pStyle w:val="ListParagraph"/>
        <w:numPr>
          <w:ilvl w:val="0"/>
          <w:numId w:val="3"/>
        </w:numPr>
      </w:pPr>
      <w:r>
        <w:t xml:space="preserve">Relief : alternance de plaine côtière et de pentes raides entre le lac et les monts Mitumba.</w:t>
      </w:r>
    </w:p>
    <w:p>
      <w:pPr>
        <w:pStyle w:val="ListParagraph"/>
        <w:numPr>
          <w:ilvl w:val="0"/>
          <w:numId w:val="3"/>
        </w:numPr>
      </w:pPr>
      <w:r>
        <w:t xml:space="preserve">Hydrologie : nombreuses rivières descendant vers le lac, crues soudaines, ponts et dalots détruits ou sous-dimensionnés.</w:t>
      </w:r>
    </w:p>
    <w:p>
      <w:pPr>
        <w:pStyle w:val="ListParagraph"/>
        <w:numPr>
          <w:ilvl w:val="0"/>
          <w:numId w:val="3"/>
        </w:numPr>
      </w:pPr>
      <w:r>
        <w:t xml:space="preserve">Géotechnique : sols argileux et latéritiques sensibles à l'eau, risque de glissements sur les talus.</w:t>
      </w:r>
    </w:p>
    <w:p>
      <w:pPr>
        <w:pStyle w:val="ListParagraph"/>
        <w:numPr>
          <w:ilvl w:val="0"/>
          <w:numId w:val="3"/>
        </w:numPr>
      </w:pPr>
      <w:r>
        <w:t xml:space="preserve">Climat : deux saisons de pluies, avec forte pluviométrie entre octobre et mai.</w:t>
      </w:r>
    </w:p>
    <w:p>
      <w:pPr>
        <w:pStyle w:val="ListParagraph"/>
        <w:numPr>
          <w:ilvl w:val="0"/>
          <w:numId w:val="3"/>
        </w:numPr>
      </w:pPr>
      <w:r>
        <w:t xml:space="preserve">Sécurité : présence de groupes armés dans certaines zones des territoires d'Uvira et de Fizi.</w:t>
      </w:r>
    </w:p>
    <w:p>
      <w:pPr>
        <w:pStyle w:val="ListParagraph"/>
        <w:numPr>
          <w:ilvl w:val="0"/>
          <w:numId w:val="3"/>
        </w:numPr>
      </w:pPr>
      <w:r>
        <w:t xml:space="preserve">Accès logistique : approvisionnement en ciment, bitume et équipements par Bujumbura, Kalemie (lac et rail) ou Bukavu.</w:t>
      </w:r>
    </w:p>
    <w:p>
      <w:pPr/>
      <w:r>
        <w:rPr>
          <w:b/>
        </w:rPr>
        <w:t xml:space="preserve">Données à collecter en priorité</w:t>
      </w:r>
      <w:r>
        <w:t xml:space="preserve"> : comptages de trafic, inventaire des ouvrages d'art, sondages de sols, carrières et gisements de matériaux, emprises et occupations.</w:t>
      </w:r>
    </w:p>
    <w:p>
      <w:pPr>
        <w:pStyle w:val="Heading2"/>
      </w:pPr>
      <w:r>
        <w:t xml:space="preserve">4. Solution technique proposée</w:t>
      </w:r>
    </w:p>
    <w:p>
      <w:pPr/>
      <w:r>
        <w:t xml:space="preserve">La route est traitée en quatre phases : on la rend d'abord praticable en terre, puis chaque section monte de niveau quand les recettes le permettent.</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Phase</w:t>
            </w:r>
          </w:p>
        </w:tc>
        <w:tc>
          <w:tcPr>
            <w:tcW w:w="2340" w:type="dxa"/>
            <w:shd w:val="clear" w:color="auto" w:fill="F2F2F2"/>
          </w:tcPr>
          <w:p>
            <w:pPr/>
            <w:r>
              <w:t xml:space="preserve">Objectif</w:t>
            </w:r>
          </w:p>
        </w:tc>
        <w:tc>
          <w:tcPr>
            <w:tcW w:w="2340" w:type="dxa"/>
            <w:shd w:val="clear" w:color="auto" w:fill="F2F2F2"/>
          </w:tcPr>
          <w:p>
            <w:pPr/>
            <w:r>
              <w:t xml:space="preserve">Travaux principaux</w:t>
            </w:r>
          </w:p>
        </w:tc>
        <w:tc>
          <w:tcPr>
            <w:tcW w:w="2340" w:type="dxa"/>
            <w:shd w:val="clear" w:color="auto" w:fill="F2F2F2"/>
          </w:tcPr>
          <w:p>
            <w:pPr/>
            <w:r>
              <w:t xml:space="preserve">Déclencheur</w:t>
            </w:r>
          </w:p>
        </w:tc>
      </w:tr>
      <w:tr>
        <w:tc>
          <w:tcPr>
            <w:tcW w:w="2340" w:type="dxa"/>
          </w:tcPr>
          <w:p>
            <w:pPr/>
            <w:r>
              <w:t xml:space="preserve">1. Réouverture</w:t>
            </w:r>
          </w:p>
        </w:tc>
        <w:tc>
          <w:tcPr>
            <w:tcW w:w="2340" w:type="dxa"/>
          </w:tcPr>
          <w:p>
            <w:pPr/>
            <w:r>
              <w:t xml:space="preserve">Route en terre praticable toute l'année</w:t>
            </w:r>
          </w:p>
        </w:tc>
        <w:tc>
          <w:tcPr>
            <w:tcW w:w="2340" w:type="dxa"/>
          </w:tcPr>
          <w:p>
            <w:pPr/>
            <w:r>
              <w:t xml:space="preserve">Débroussaillage, reprofilage, rechargement latéritique aux points critiques, assainissement, franchissements, postes de péage</w:t>
            </w:r>
          </w:p>
        </w:tc>
        <w:tc>
          <w:tcPr>
            <w:tcW w:w="2340" w:type="dxa"/>
          </w:tcPr>
          <w:p>
            <w:pPr/>
            <w:r>
              <w:t xml:space="preserve">Signature de la convention</w:t>
            </w:r>
          </w:p>
        </w:tc>
      </w:tr>
      <w:tr>
        <w:tc>
          <w:tcPr>
            <w:tcW w:w="2340" w:type="dxa"/>
          </w:tcPr>
          <w:p>
            <w:pPr/>
            <w:r>
              <w:t xml:space="preserve">2. Route en terre améliorée</w:t>
            </w:r>
          </w:p>
        </w:tc>
        <w:tc>
          <w:tcPr>
            <w:tcW w:w="2340" w:type="dxa"/>
          </w:tcPr>
          <w:p>
            <w:pPr/>
            <w:r>
              <w:t xml:space="preserve">Circulation rapide et moins de coupures</w:t>
            </w:r>
          </w:p>
        </w:tc>
        <w:tc>
          <w:tcPr>
            <w:tcW w:w="2340" w:type="dxa"/>
          </w:tcPr>
          <w:p>
            <w:pPr/>
            <w:r>
              <w:t xml:space="preserve">Rechargement latéritique continu de 20 cm, élargissement de la plate-forme, ouvrages définitifs</w:t>
            </w:r>
          </w:p>
        </w:tc>
        <w:tc>
          <w:tcPr>
            <w:tcW w:w="2340" w:type="dxa"/>
          </w:tcPr>
          <w:p>
            <w:pPr/>
            <w:r>
              <w:t xml:space="preserve">Fonds d'amélioration suffisant pour la section</w:t>
            </w:r>
          </w:p>
        </w:tc>
      </w:tr>
      <w:tr>
        <w:tc>
          <w:tcPr>
            <w:tcW w:w="2340" w:type="dxa"/>
          </w:tcPr>
          <w:p>
            <w:pPr/>
            <w:r>
              <w:t xml:space="preserve">3. Bitumage progressif</w:t>
            </w:r>
          </w:p>
        </w:tc>
        <w:tc>
          <w:tcPr>
            <w:tcW w:w="2340" w:type="dxa"/>
          </w:tcPr>
          <w:p>
            <w:pPr/>
            <w:r>
              <w:t xml:space="preserve">Revêtement durable</w:t>
            </w:r>
          </w:p>
        </w:tc>
        <w:tc>
          <w:tcPr>
            <w:tcW w:w="2340" w:type="dxa"/>
          </w:tcPr>
          <w:p>
            <w:pPr/>
            <w:r>
              <w:t xml:space="preserve">Couche de base renforcée et enduit superficiel bicouche, section par section</w:t>
            </w:r>
          </w:p>
        </w:tc>
        <w:tc>
          <w:tcPr>
            <w:tcW w:w="2340" w:type="dxa"/>
          </w:tcPr>
          <w:p>
            <w:pPr/>
            <w:r>
              <w:t xml:space="preserve">Fonds d'amélioration suffisant + trafic justifiant le revêtement</w:t>
            </w:r>
          </w:p>
        </w:tc>
      </w:tr>
      <w:tr>
        <w:tc>
          <w:tcPr>
            <w:tcW w:w="2340" w:type="dxa"/>
          </w:tcPr>
          <w:p>
            <w:pPr/>
            <w:r>
              <w:t xml:space="preserve">4. Renforcement</w:t>
            </w:r>
          </w:p>
        </w:tc>
        <w:tc>
          <w:tcPr>
            <w:tcW w:w="2340" w:type="dxa"/>
          </w:tcPr>
          <w:p>
            <w:pPr/>
            <w:r>
              <w:t xml:space="preserve">Confort et sécurité</w:t>
            </w:r>
          </w:p>
        </w:tc>
        <w:tc>
          <w:tcPr>
            <w:tcW w:w="2340" w:type="dxa"/>
          </w:tcPr>
          <w:p>
            <w:pPr/>
            <w:r>
              <w:t xml:space="preserve">Béton bitumineux en agglomération et sur sections à fort trafic</w:t>
            </w:r>
          </w:p>
        </w:tc>
        <w:tc>
          <w:tcPr>
            <w:tcW w:w="2340" w:type="dxa"/>
          </w:tcPr>
          <w:p>
            <w:pPr/>
            <w:r>
              <w:t xml:space="preserve">Trafic élevé constaté</w:t>
            </w:r>
          </w:p>
        </w:tc>
      </w:tr>
    </w:tbl>
    <w:p>
      <w:pPr/>
      <w:r>
        <w:rPr>
          <w:b/>
        </w:rPr>
        <w:t xml:space="preserve">Phase 1 : réouverture en route en terre (12 à 18 mois)</w:t>
      </w:r>
    </w:p>
    <w:p>
      <w:pPr>
        <w:pStyle w:val="ListParagraph"/>
        <w:numPr>
          <w:ilvl w:val="0"/>
          <w:numId w:val="4"/>
        </w:numPr>
      </w:pPr>
      <w:r>
        <w:t xml:space="preserve">Plate-forme de 7 à 8 m, bombée à 4 % pour évacuer l'eau, vitesse de 40 à 60 km/h.</w:t>
      </w:r>
    </w:p>
    <w:p>
      <w:pPr>
        <w:pStyle w:val="ListParagraph"/>
        <w:numPr>
          <w:ilvl w:val="0"/>
          <w:numId w:val="4"/>
        </w:numPr>
      </w:pPr>
      <w:r>
        <w:t xml:space="preserve">Rechargement en latérite compactée (15 à 20 cm) sur les bourbiers, pentes et zones argileuses, soit environ 20 à 30 % du linéaire.</w:t>
      </w:r>
    </w:p>
    <w:p>
      <w:pPr>
        <w:pStyle w:val="ListParagraph"/>
        <w:numPr>
          <w:ilvl w:val="0"/>
          <w:numId w:val="4"/>
        </w:numPr>
      </w:pPr>
      <w:r>
        <w:t xml:space="preserve">Fossés, exutoires et buses à chaque point bas ; protection des talus par gabions aux endroits instables.</w:t>
      </w:r>
    </w:p>
    <w:p>
      <w:pPr>
        <w:pStyle w:val="ListParagraph"/>
        <w:numPr>
          <w:ilvl w:val="0"/>
          <w:numId w:val="4"/>
        </w:numPr>
      </w:pPr>
      <w:r>
        <w:t xml:space="preserve">Franchissements : réparation des ponts existants, ponts métalliques modulaires sur les rivières sans ouvrage, dalots en béton sur les petits cours d'eau.</w:t>
      </w:r>
    </w:p>
    <w:p>
      <w:pPr>
        <w:pStyle w:val="ListParagraph"/>
        <w:numPr>
          <w:ilvl w:val="0"/>
          <w:numId w:val="4"/>
        </w:numPr>
      </w:pPr>
      <w:r>
        <w:t xml:space="preserve">Signalisation minimale (virages dangereux, ponts, villages) et barrières de pluie pour interdire les poids lourds pendant les fortes averses.</w:t>
      </w:r>
    </w:p>
    <w:p>
      <w:pPr>
        <w:pStyle w:val="ListParagraph"/>
        <w:numPr>
          <w:ilvl w:val="0"/>
          <w:numId w:val="4"/>
        </w:numPr>
      </w:pPr>
      <w:r>
        <w:t xml:space="preserve">Travaux simultanés par 3 lots, chacun avec sa brigade d'engins (niveleuses, compacteurs, chargeuses, camions).</w:t>
      </w:r>
    </w:p>
    <w:p>
      <w:pPr/>
      <w:r>
        <w:rPr>
          <w:b/>
        </w:rPr>
        <w:t xml:space="preserve">Postes de péage</w:t>
      </w:r>
    </w:p>
    <w:p>
      <w:pPr>
        <w:pStyle w:val="ListParagraph"/>
        <w:numPr>
          <w:ilvl w:val="0"/>
          <w:numId w:val="5"/>
        </w:numPr>
      </w:pPr>
      <w:r>
        <w:t xml:space="preserve">Environ 8 postes, un tous les 50 km, à l'entrée de sections homogènes et hors des centres urbains.</w:t>
      </w:r>
    </w:p>
    <w:p>
      <w:pPr>
        <w:pStyle w:val="ListParagraph"/>
        <w:numPr>
          <w:ilvl w:val="0"/>
          <w:numId w:val="5"/>
        </w:numPr>
      </w:pPr>
      <w:r>
        <w:t xml:space="preserve">Chaque poste n'ouvre qu'après la réouverture complète des 50 km qu'il dessert.</w:t>
      </w:r>
    </w:p>
    <w:p>
      <w:pPr>
        <w:pStyle w:val="ListParagraph"/>
        <w:numPr>
          <w:ilvl w:val="0"/>
          <w:numId w:val="5"/>
        </w:numPr>
      </w:pPr>
      <w:r>
        <w:t xml:space="preserve">Billetterie électronique, paiement en espèces et par mobile money, caméras et comptage automatique du trafic.</w:t>
      </w:r>
    </w:p>
    <w:p>
      <w:pPr>
        <w:pStyle w:val="ListParagraph"/>
        <w:numPr>
          <w:ilvl w:val="0"/>
          <w:numId w:val="5"/>
        </w:numPr>
      </w:pPr>
      <w:r>
        <w:t xml:space="preserve">Pesage mobile pour faire respecter la charge à l'essieu et protéger la route.</w:t>
      </w:r>
    </w:p>
    <w:p>
      <w:pPr/>
      <w:r>
        <w:rPr>
          <w:b/>
        </w:rPr>
        <w:t xml:space="preserve">Entretien permanent</w:t>
      </w:r>
    </w:p>
    <w:p>
      <w:pPr>
        <w:pStyle w:val="ListParagraph"/>
        <w:numPr>
          <w:ilvl w:val="0"/>
          <w:numId w:val="6"/>
        </w:numPr>
      </w:pPr>
      <w:r>
        <w:t xml:space="preserve">Une brigade d'entretien par lot, basée près des postes de péage.</w:t>
      </w:r>
    </w:p>
    <w:p>
      <w:pPr>
        <w:pStyle w:val="ListParagraph"/>
        <w:numPr>
          <w:ilvl w:val="0"/>
          <w:numId w:val="6"/>
        </w:numPr>
      </w:pPr>
      <w:r>
        <w:t xml:space="preserve">Reprofilage après chaque saison des pluies, rechargement ponctuel, curage des fossés.</w:t>
      </w:r>
    </w:p>
    <w:p>
      <w:pPr>
        <w:pStyle w:val="ListParagraph"/>
        <w:numPr>
          <w:ilvl w:val="0"/>
          <w:numId w:val="6"/>
        </w:numPr>
      </w:pPr>
      <w:r>
        <w:t xml:space="preserve">Délai d'intervention visé : moins de 48 heures pour toute coupure de route.</w:t>
      </w:r>
    </w:p>
    <w:p>
      <w:pPr>
        <w:pStyle w:val="Heading2"/>
      </w:pPr>
      <w:r>
        <w:t xml:space="preserve">5. Coûts, recettes et autofinancement</w:t>
      </w:r>
    </w:p>
    <w:p>
      <w:pPr/>
      <w:r>
        <w:t xml:space="preserve">La réouverture en terre coûte environ 25 à 45 millions USD, financés par EIS-EKA ; les phases suivantes sont payées par les recettes de péage, au fur et à mesure.</w:t>
      </w:r>
    </w:p>
    <w:p>
      <w:pPr/>
      <w:r>
        <w:rPr>
          <w:b/>
        </w:rPr>
        <w:t xml:space="preserve">Coût de la phase 1 (réouverture)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Poste</w:t>
            </w:r>
          </w:p>
        </w:tc>
        <w:tc>
          <w:tcPr>
            <w:tcW w:w="3120" w:type="dxa"/>
            <w:shd w:val="clear" w:color="auto" w:fill="F2F2F2"/>
          </w:tcPr>
          <w:p>
            <w:pPr/>
            <w:r>
              <w:t xml:space="preserve">Base de calcul</w:t>
            </w:r>
          </w:p>
        </w:tc>
        <w:tc>
          <w:tcPr>
            <w:tcW w:w="3120" w:type="dxa"/>
            <w:shd w:val="clear" w:color="auto" w:fill="F2F2F2"/>
          </w:tcPr>
          <w:p>
            <w:pPr/>
            <w:r>
              <w:t xml:space="preserve">Montant (millions USD)</w:t>
            </w:r>
          </w:p>
        </w:tc>
      </w:tr>
      <w:tr>
        <w:tc>
          <w:tcPr>
            <w:tcW w:w="3120" w:type="dxa"/>
          </w:tcPr>
          <w:p>
            <w:pPr/>
            <w:r>
              <w:t xml:space="preserve">Travaux de terrassement et rechargement</w:t>
            </w:r>
          </w:p>
        </w:tc>
        <w:tc>
          <w:tcPr>
            <w:tcW w:w="3120" w:type="dxa"/>
          </w:tcPr>
          <w:p>
            <w:pPr/>
            <w:r>
              <w:t xml:space="preserve">≈ 420 km × 25 000 à 45 000 USD/km</w:t>
            </w:r>
          </w:p>
        </w:tc>
        <w:tc>
          <w:tcPr>
            <w:tcW w:w="3120" w:type="dxa"/>
          </w:tcPr>
          <w:p>
            <w:pPr/>
            <w:r>
              <w:t xml:space="preserve">10,5 – 19</w:t>
            </w:r>
          </w:p>
        </w:tc>
      </w:tr>
      <w:tr>
        <w:tc>
          <w:tcPr>
            <w:tcW w:w="3120" w:type="dxa"/>
          </w:tcPr>
          <w:p>
            <w:pPr/>
            <w:r>
              <w:t xml:space="preserve">Ponts, dalots, buses et protection des talus</w:t>
            </w:r>
          </w:p>
        </w:tc>
        <w:tc>
          <w:tcPr>
            <w:tcW w:w="3120" w:type="dxa"/>
          </w:tcPr>
          <w:p>
            <w:pPr/>
            <w:r>
              <w:t xml:space="preserve">Selon inventaire des franchissements</w:t>
            </w:r>
          </w:p>
        </w:tc>
        <w:tc>
          <w:tcPr>
            <w:tcW w:w="3120" w:type="dxa"/>
          </w:tcPr>
          <w:p>
            <w:pPr/>
            <w:r>
              <w:t xml:space="preserve">6 – 12</w:t>
            </w:r>
          </w:p>
        </w:tc>
      </w:tr>
      <w:tr>
        <w:tc>
          <w:tcPr>
            <w:tcW w:w="3120" w:type="dxa"/>
          </w:tcPr>
          <w:p>
            <w:pPr/>
            <w:r>
              <w:t xml:space="preserve">Engins et ateliers d'entretien</w:t>
            </w:r>
          </w:p>
        </w:tc>
        <w:tc>
          <w:tcPr>
            <w:tcW w:w="3120" w:type="dxa"/>
          </w:tcPr>
          <w:p>
            <w:pPr/>
            <w:r>
              <w:t xml:space="preserve">3 brigades complètes</w:t>
            </w:r>
          </w:p>
        </w:tc>
        <w:tc>
          <w:tcPr>
            <w:tcW w:w="3120" w:type="dxa"/>
          </w:tcPr>
          <w:p>
            <w:pPr/>
            <w:r>
              <w:t xml:space="preserve">4 – 6</w:t>
            </w:r>
          </w:p>
        </w:tc>
      </w:tr>
      <w:tr>
        <w:tc>
          <w:tcPr>
            <w:tcW w:w="3120" w:type="dxa"/>
          </w:tcPr>
          <w:p>
            <w:pPr/>
            <w:r>
              <w:t xml:space="preserve">Postes de péage et pesage mobile</w:t>
            </w:r>
          </w:p>
        </w:tc>
        <w:tc>
          <w:tcPr>
            <w:tcW w:w="3120" w:type="dxa"/>
          </w:tcPr>
          <w:p>
            <w:pPr/>
            <w:r>
              <w:t xml:space="preserve">8 postes × 150 000 à 250 000 USD</w:t>
            </w:r>
          </w:p>
        </w:tc>
        <w:tc>
          <w:tcPr>
            <w:tcW w:w="3120" w:type="dxa"/>
          </w:tcPr>
          <w:p>
            <w:pPr/>
            <w:r>
              <w:t xml:space="preserve">1,2 – 2</w:t>
            </w:r>
          </w:p>
        </w:tc>
      </w:tr>
      <w:tr>
        <w:tc>
          <w:tcPr>
            <w:tcW w:w="3120" w:type="dxa"/>
          </w:tcPr>
          <w:p>
            <w:pPr/>
            <w:r>
              <w:t xml:space="preserve">Reconnaissances, topographie, étude d'impact</w:t>
            </w:r>
          </w:p>
        </w:tc>
        <w:tc>
          <w:tcPr>
            <w:tcW w:w="3120" w:type="dxa"/>
          </w:tcPr>
          <w:p>
            <w:pPr/>
            <w:r>
              <w:t xml:space="preserve">Forfait</w:t>
            </w:r>
          </w:p>
        </w:tc>
        <w:tc>
          <w:tcPr>
            <w:tcW w:w="3120" w:type="dxa"/>
          </w:tcPr>
          <w:p>
            <w:pPr/>
            <w:r>
              <w:t xml:space="preserve">1 – 2</w:t>
            </w:r>
          </w:p>
        </w:tc>
      </w:tr>
      <w:tr>
        <w:tc>
          <w:tcPr>
            <w:tcW w:w="3120" w:type="dxa"/>
          </w:tcPr>
          <w:p>
            <w:pPr/>
            <w:r>
              <w:t xml:space="preserve">Imprévus</w:t>
            </w:r>
          </w:p>
        </w:tc>
        <w:tc>
          <w:tcPr>
            <w:tcW w:w="3120" w:type="dxa"/>
          </w:tcPr>
          <w:p>
            <w:pPr/>
            <w:r>
              <w:t xml:space="preserve">≈ 10 %</w:t>
            </w:r>
          </w:p>
        </w:tc>
        <w:tc>
          <w:tcPr>
            <w:tcW w:w="3120" w:type="dxa"/>
          </w:tcPr>
          <w:p>
            <w:pPr/>
            <w:r>
              <w:t xml:space="preserve">2 – 4</w:t>
            </w:r>
          </w:p>
        </w:tc>
      </w:tr>
      <w:tr>
        <w:tc>
          <w:tcPr>
            <w:tcW w:w="3120" w:type="dxa"/>
          </w:tcPr>
          <w:p>
            <w:pPr/>
            <w:r>
              <w:rPr>
                <w:b/>
              </w:rPr>
              <w:t xml:space="preserve">Total phase 1</w:t>
            </w:r>
          </w:p>
        </w:tc>
        <w:tc>
          <w:tcPr>
            <w:tcW w:w="3120" w:type="dxa"/>
          </w:tcPr>
          <w:p>
            <w:pPr/>
          </w:p>
        </w:tc>
        <w:tc>
          <w:tcPr>
            <w:tcW w:w="3120" w:type="dxa"/>
          </w:tcPr>
          <w:p>
            <w:pPr/>
            <w:r>
              <w:rPr>
                <w:b/>
              </w:rPr>
              <w:t xml:space="preserve">25 – 45</w:t>
            </w:r>
          </w:p>
        </w:tc>
      </w:tr>
    </w:tbl>
    <w:p>
      <w:pPr/>
      <w:r>
        <w:rPr>
          <w:b/>
        </w:rPr>
        <w:t xml:space="preserve">Coûts des phases suivantes et de l'exploitation (ordres de grandeur)</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Poste</w:t>
            </w:r>
          </w:p>
        </w:tc>
        <w:tc>
          <w:tcPr>
            <w:tcW w:w="3120" w:type="dxa"/>
            <w:shd w:val="clear" w:color="auto" w:fill="F2F2F2"/>
          </w:tcPr>
          <w:p>
            <w:pPr/>
            <w:r>
              <w:t xml:space="preserve">Coût unitaire</w:t>
            </w:r>
          </w:p>
        </w:tc>
        <w:tc>
          <w:tcPr>
            <w:tcW w:w="3120" w:type="dxa"/>
            <w:shd w:val="clear" w:color="auto" w:fill="F2F2F2"/>
          </w:tcPr>
          <w:p>
            <w:pPr/>
            <w:r>
              <w:t xml:space="preserve">Total pour 420 km</w:t>
            </w:r>
          </w:p>
        </w:tc>
      </w:tr>
      <w:tr>
        <w:tc>
          <w:tcPr>
            <w:tcW w:w="3120" w:type="dxa"/>
          </w:tcPr>
          <w:p>
            <w:pPr/>
            <w:r>
              <w:t xml:space="preserve">Entretien de la route en terre et exploitation des péages</w:t>
            </w:r>
          </w:p>
        </w:tc>
        <w:tc>
          <w:tcPr>
            <w:tcW w:w="3120" w:type="dxa"/>
          </w:tcPr>
          <w:p>
            <w:pPr/>
            <w:r>
              <w:t xml:space="preserve">5 000 à 8 000 USD/km/an</w:t>
            </w:r>
          </w:p>
        </w:tc>
        <w:tc>
          <w:tcPr>
            <w:tcW w:w="3120" w:type="dxa"/>
          </w:tcPr>
          <w:p>
            <w:pPr/>
            <w:r>
              <w:t xml:space="preserve">2 – 3,5 M USD par an</w:t>
            </w:r>
          </w:p>
        </w:tc>
      </w:tr>
      <w:tr>
        <w:tc>
          <w:tcPr>
            <w:tcW w:w="3120" w:type="dxa"/>
          </w:tcPr>
          <w:p>
            <w:pPr/>
            <w:r>
              <w:t xml:space="preserve">Phase 2 : route en terre améliorée</w:t>
            </w:r>
          </w:p>
        </w:tc>
        <w:tc>
          <w:tcPr>
            <w:tcW w:w="3120" w:type="dxa"/>
          </w:tcPr>
          <w:p>
            <w:pPr/>
            <w:r>
              <w:t xml:space="preserve">100 000 à 190 000 USD/km</w:t>
            </w:r>
          </w:p>
        </w:tc>
        <w:tc>
          <w:tcPr>
            <w:tcW w:w="3120" w:type="dxa"/>
          </w:tcPr>
          <w:p>
            <w:pPr/>
            <w:r>
              <w:t xml:space="preserve">45 – 80 M USD</w:t>
            </w:r>
          </w:p>
        </w:tc>
      </w:tr>
      <w:tr>
        <w:tc>
          <w:tcPr>
            <w:tcW w:w="3120" w:type="dxa"/>
          </w:tcPr>
          <w:p>
            <w:pPr/>
            <w:r>
              <w:t xml:space="preserve">Phase 3 : bitumage en enduit bicouche</w:t>
            </w:r>
          </w:p>
        </w:tc>
        <w:tc>
          <w:tcPr>
            <w:tcW w:w="3120" w:type="dxa"/>
          </w:tcPr>
          <w:p>
            <w:pPr/>
            <w:r>
              <w:t xml:space="preserve">350 000 à 500 000 USD/km</w:t>
            </w:r>
          </w:p>
        </w:tc>
        <w:tc>
          <w:tcPr>
            <w:tcW w:w="3120" w:type="dxa"/>
          </w:tcPr>
          <w:p>
            <w:pPr/>
            <w:r>
              <w:t xml:space="preserve">150 – 210 M USD</w:t>
            </w:r>
          </w:p>
        </w:tc>
      </w:tr>
    </w:tbl>
    <w:p>
      <w:pPr/>
      <w:r>
        <w:rPr>
          <w:b/>
        </w:rPr>
        <w:t xml:space="preserve">Recettes de péage : trois scénarios illustratifs</w:t>
      </w:r>
    </w:p>
    <w:p>
      <w:pPr/>
      <w:r>
        <w:t xml:space="preserve">Les tarifs proposés par passage, à faire approuver par l'État, vont d'environ 0,5 USD pour une moto à 20 à 30 USD pour un poids lourd de 3 essieux ou plus. Les recettes dépendent surtout du nombre de camions, qui reste à mesurer.</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Scénario</w:t>
            </w:r>
          </w:p>
        </w:tc>
        <w:tc>
          <w:tcPr>
            <w:tcW w:w="2340" w:type="dxa"/>
            <w:shd w:val="clear" w:color="auto" w:fill="F2F2F2"/>
          </w:tcPr>
          <w:p>
            <w:pPr/>
            <w:r>
              <w:t xml:space="preserve">Passages par jour et par poste</w:t>
            </w:r>
          </w:p>
        </w:tc>
        <w:tc>
          <w:tcPr>
            <w:tcW w:w="2340" w:type="dxa"/>
            <w:shd w:val="clear" w:color="auto" w:fill="F2F2F2"/>
          </w:tcPr>
          <w:p>
            <w:pPr/>
            <w:r>
              <w:t xml:space="preserve">Tarif moyen</w:t>
            </w:r>
          </w:p>
        </w:tc>
        <w:tc>
          <w:tcPr>
            <w:tcW w:w="2340" w:type="dxa"/>
            <w:shd w:val="clear" w:color="auto" w:fill="F2F2F2"/>
          </w:tcPr>
          <w:p>
            <w:pPr/>
            <w:r>
              <w:t xml:space="preserve">Recettes brutes annuelles (8 postes)</w:t>
            </w:r>
          </w:p>
        </w:tc>
      </w:tr>
      <w:tr>
        <w:tc>
          <w:tcPr>
            <w:tcW w:w="2340" w:type="dxa"/>
          </w:tcPr>
          <w:p>
            <w:pPr/>
            <w:r>
              <w:t xml:space="preserve">Faible</w:t>
            </w:r>
          </w:p>
        </w:tc>
        <w:tc>
          <w:tcPr>
            <w:tcW w:w="2340" w:type="dxa"/>
          </w:tcPr>
          <w:p>
            <w:pPr/>
            <w:r>
              <w:t xml:space="preserve">100</w:t>
            </w:r>
          </w:p>
        </w:tc>
        <w:tc>
          <w:tcPr>
            <w:tcW w:w="2340" w:type="dxa"/>
          </w:tcPr>
          <w:p>
            <w:pPr/>
            <w:r>
              <w:t xml:space="preserve">6 USD</w:t>
            </w:r>
          </w:p>
        </w:tc>
        <w:tc>
          <w:tcPr>
            <w:tcW w:w="2340" w:type="dxa"/>
          </w:tcPr>
          <w:p>
            <w:pPr/>
            <w:r>
              <w:t xml:space="preserve">≈ 1,75 M USD</w:t>
            </w:r>
          </w:p>
        </w:tc>
      </w:tr>
      <w:tr>
        <w:tc>
          <w:tcPr>
            <w:tcW w:w="2340" w:type="dxa"/>
          </w:tcPr>
          <w:p>
            <w:pPr/>
            <w:r>
              <w:t xml:space="preserve">Moyen</w:t>
            </w:r>
          </w:p>
        </w:tc>
        <w:tc>
          <w:tcPr>
            <w:tcW w:w="2340" w:type="dxa"/>
          </w:tcPr>
          <w:p>
            <w:pPr/>
            <w:r>
              <w:t xml:space="preserve">250</w:t>
            </w:r>
          </w:p>
        </w:tc>
        <w:tc>
          <w:tcPr>
            <w:tcW w:w="2340" w:type="dxa"/>
          </w:tcPr>
          <w:p>
            <w:pPr/>
            <w:r>
              <w:t xml:space="preserve">8 USD</w:t>
            </w:r>
          </w:p>
        </w:tc>
        <w:tc>
          <w:tcPr>
            <w:tcW w:w="2340" w:type="dxa"/>
          </w:tcPr>
          <w:p>
            <w:pPr/>
            <w:r>
              <w:t xml:space="preserve">≈ 5,8 M USD</w:t>
            </w:r>
          </w:p>
        </w:tc>
      </w:tr>
      <w:tr>
        <w:tc>
          <w:tcPr>
            <w:tcW w:w="2340" w:type="dxa"/>
          </w:tcPr>
          <w:p>
            <w:pPr/>
            <w:r>
              <w:t xml:space="preserve">Fort</w:t>
            </w:r>
          </w:p>
        </w:tc>
        <w:tc>
          <w:tcPr>
            <w:tcW w:w="2340" w:type="dxa"/>
          </w:tcPr>
          <w:p>
            <w:pPr/>
            <w:r>
              <w:t xml:space="preserve">500</w:t>
            </w:r>
          </w:p>
        </w:tc>
        <w:tc>
          <w:tcPr>
            <w:tcW w:w="2340" w:type="dxa"/>
          </w:tcPr>
          <w:p>
            <w:pPr/>
            <w:r>
              <w:t xml:space="preserve">10 USD</w:t>
            </w:r>
          </w:p>
        </w:tc>
        <w:tc>
          <w:tcPr>
            <w:tcW w:w="2340" w:type="dxa"/>
          </w:tcPr>
          <w:p>
            <w:pPr/>
            <w:r>
              <w:t xml:space="preserve">≈ 14,6 M USD</w:t>
            </w:r>
          </w:p>
        </w:tc>
      </w:tr>
    </w:tbl>
    <w:p>
      <w:pPr/>
      <w:r>
        <w:t xml:space="preserve">Ce qu'il faut retenir :</w:t>
      </w:r>
    </w:p>
    <w:p>
      <w:pPr>
        <w:pStyle w:val="ListParagraph"/>
        <w:numPr>
          <w:ilvl w:val="0"/>
          <w:numId w:val="7"/>
        </w:numPr>
      </w:pPr>
      <w:r>
        <w:t xml:space="preserve">Dans le scénario faible, le péage couvre à peine l'entretien ; l'amélioration attendrait la croissance du trafic.</w:t>
      </w:r>
    </w:p>
    <w:p>
      <w:pPr>
        <w:pStyle w:val="ListParagraph"/>
        <w:numPr>
          <w:ilvl w:val="0"/>
          <w:numId w:val="7"/>
        </w:numPr>
      </w:pPr>
      <w:r>
        <w:t xml:space="preserve">Dans le scénario moyen, l'entretien est couvert et environ 2 à 3 M USD par an restent pour le retour sur investissement et l'amélioration.</w:t>
      </w:r>
    </w:p>
    <w:p>
      <w:pPr>
        <w:pStyle w:val="ListParagraph"/>
        <w:numPr>
          <w:ilvl w:val="0"/>
          <w:numId w:val="7"/>
        </w:numPr>
      </w:pPr>
      <w:r>
        <w:t xml:space="preserve">Le trafic augmente généralement fortement après la réouverture d'une route coupée ; c'est ce trafic nouveau qui financera le bitumage.</w:t>
      </w:r>
    </w:p>
    <w:p>
      <w:pPr>
        <w:pStyle w:val="ListParagraph"/>
        <w:numPr>
          <w:ilvl w:val="0"/>
          <w:numId w:val="7"/>
        </w:numPr>
      </w:pPr>
      <w:r>
        <w:t xml:space="preserve">Le bitumage complet sur les seules recettes prendra du temps ; il commencera par les sections à plus fort trafic, autour d'Uvira et de Kalemie. EIS-EKA pourra accélérer en empruntant sur la base des recettes constatées.</w:t>
      </w:r>
    </w:p>
    <w:p>
      <w:pPr>
        <w:pStyle w:val="Heading2"/>
      </w:pPr>
      <w:r>
        <w:t xml:space="preserve">6. Montage contractuel proposé</w:t>
      </w:r>
    </w:p>
    <w:p>
      <w:pPr/>
      <w:r>
        <w:t xml:space="preserve">Nous proposons une concession Réhabiliter-Exploiter-Transférer à péage de 30 ans, entièrement financée par EIS-EKA : l'État ne paie rien et ne garantit rien, il concède le droit de percevoir le péage.</w:t>
      </w:r>
    </w:p>
    <w:p>
      <w:pPr/>
      <w:r>
        <w:rPr>
          <w:b/>
        </w:rPr>
        <w:t xml:space="preserve">Cadre juridique</w:t>
      </w:r>
    </w:p>
    <w:p>
      <w:pPr>
        <w:pStyle w:val="ListParagraph"/>
        <w:numPr>
          <w:ilvl w:val="0"/>
          <w:numId w:val="8"/>
        </w:numPr>
      </w:pPr>
      <w:r>
        <w:t xml:space="preserve">Loi n°18/016 du 9 juillet 2018 relative aux partenariats public-privé et ses mesures d'application, y compris la procédure applicable aux offres spontanées.</w:t>
      </w:r>
    </w:p>
    <w:p>
      <w:pPr>
        <w:pStyle w:val="ListParagraph"/>
        <w:numPr>
          <w:ilvl w:val="0"/>
          <w:numId w:val="8"/>
        </w:numPr>
      </w:pPr>
      <w:r>
        <w:t xml:space="preserve">Autorité concédante : l'État congolais, représenté par le Ministère des Infrastructures et Travaux Publics, avec l'Office des Routes pour le contrôle technique.</w:t>
      </w:r>
    </w:p>
    <w:p>
      <w:pPr>
        <w:pStyle w:val="ListParagraph"/>
        <w:numPr>
          <w:ilvl w:val="0"/>
          <w:numId w:val="8"/>
        </w:numPr>
      </w:pPr>
      <w:r>
        <w:t xml:space="preserve">Arrêté autorisant la perception du péage et fixant les tarifs, pris par les ministres compétents.</w:t>
      </w:r>
    </w:p>
    <w:p>
      <w:pPr>
        <w:pStyle w:val="ListParagraph"/>
        <w:numPr>
          <w:ilvl w:val="0"/>
          <w:numId w:val="8"/>
        </w:numPr>
      </w:pPr>
      <w:r>
        <w:t xml:space="preserve">Coordination avec le FONER et les provinces pour éviter toute double perception sur le tronçon.</w:t>
      </w:r>
    </w:p>
    <w:p>
      <w:pPr/>
      <w:r>
        <w:rPr>
          <w:b/>
        </w:rPr>
        <w:t xml:space="preserve">Société de projet</w:t>
      </w:r>
    </w:p>
    <w:p>
      <w:pPr/>
      <w:r>
        <w:t xml:space="preserve">Une société de droit congolais dédiée (« RN5 Tanganyika S.A. », nom provisoire), détenue par EIS-EKA, porte la concession. L'État peut y recevoir une participation gratuite minoritaire s'il le souhaite.</w:t>
      </w:r>
    </w:p>
    <w:p>
      <w:pPr/>
      <w:r>
        <w:rPr>
          <w:b/>
        </w:rPr>
        <w:t xml:space="preserve">Engagements des parties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EIS-EKA s'engage à</w:t>
            </w:r>
          </w:p>
        </w:tc>
        <w:tc>
          <w:tcPr>
            <w:tcW w:w="4680" w:type="dxa"/>
            <w:shd w:val="clear" w:color="auto" w:fill="F2F2F2"/>
          </w:tcPr>
          <w:p>
            <w:pPr/>
            <w:r>
              <w:t xml:space="preserve">L'État s'engage à</w:t>
            </w:r>
          </w:p>
        </w:tc>
      </w:tr>
      <w:tr>
        <w:tc>
          <w:tcPr>
            <w:tcW w:w="4680" w:type="dxa"/>
          </w:tcPr>
          <w:p>
            <w:pPr/>
            <w:r>
              <w:t xml:space="preserve">Financer 100 % de la phase 1 et démarrer les travaux dans les 60 jours suivant la signature</w:t>
            </w:r>
          </w:p>
        </w:tc>
        <w:tc>
          <w:tcPr>
            <w:tcW w:w="4680" w:type="dxa"/>
          </w:tcPr>
          <w:p>
            <w:pPr/>
            <w:r>
              <w:t xml:space="preserve">Accorder le droit exclusif de péage sur le tronçon pendant 30 ans</w:t>
            </w:r>
          </w:p>
        </w:tc>
      </w:tr>
      <w:tr>
        <w:tc>
          <w:tcPr>
            <w:tcW w:w="4680" w:type="dxa"/>
          </w:tcPr>
          <w:p>
            <w:pPr/>
            <w:r>
              <w:t xml:space="preserve">Rendre la route praticable toute l'année et la maintenir dans cet état</w:t>
            </w:r>
          </w:p>
        </w:tc>
        <w:tc>
          <w:tcPr>
            <w:tcW w:w="4680" w:type="dxa"/>
          </w:tcPr>
          <w:p>
            <w:pPr/>
            <w:r>
              <w:t xml:space="preserve">Approuver les tarifs et leur révision annuelle selon l'inflation</w:t>
            </w:r>
          </w:p>
        </w:tc>
      </w:tr>
      <w:tr>
        <w:tc>
          <w:tcPr>
            <w:tcW w:w="4680" w:type="dxa"/>
          </w:tcPr>
          <w:p>
            <w:pPr/>
            <w:r>
              <w:t xml:space="preserve">N'ouvrir un poste de péage qu'après réouverture de la section desservie</w:t>
            </w:r>
          </w:p>
        </w:tc>
        <w:tc>
          <w:tcPr>
            <w:tcW w:w="4680" w:type="dxa"/>
          </w:tcPr>
          <w:p>
            <w:pPr/>
            <w:r>
              <w:t xml:space="preserve">Libérer les emprises et assurer la sécurité des chantiers et des postes</w:t>
            </w:r>
          </w:p>
        </w:tc>
      </w:tr>
      <w:tr>
        <w:tc>
          <w:tcPr>
            <w:tcW w:w="4680" w:type="dxa"/>
          </w:tcPr>
          <w:p>
            <w:pPr/>
            <w:r>
              <w:t xml:space="preserve">Alimenter un fonds d'amélioration et exécuter les phases 2 à 4 selon le programme approuvé</w:t>
            </w:r>
          </w:p>
        </w:tc>
        <w:tc>
          <w:tcPr>
            <w:tcW w:w="4680" w:type="dxa"/>
          </w:tcPr>
          <w:p>
            <w:pPr/>
            <w:r>
              <w:t xml:space="preserve">Accorder le régime fiscal et douanier prévu pour les PPP sur les équipements et intrants</w:t>
            </w:r>
          </w:p>
        </w:tc>
      </w:tr>
      <w:tr>
        <w:tc>
          <w:tcPr>
            <w:tcW w:w="4680" w:type="dxa"/>
          </w:tcPr>
          <w:p>
            <w:pPr/>
            <w:r>
              <w:t xml:space="preserve">Publier les recettes et les comptages, et accepter un audit annuel indépendant</w:t>
            </w:r>
          </w:p>
        </w:tc>
        <w:tc>
          <w:tcPr>
            <w:tcW w:w="4680" w:type="dxa"/>
          </w:tcPr>
          <w:p>
            <w:pPr/>
            <w:r>
              <w:t xml:space="preserve">Garantir qu'aucune autre taxe de passage ne sera perçue sur le tronçon</w:t>
            </w:r>
          </w:p>
        </w:tc>
      </w:tr>
    </w:tbl>
    <w:p>
      <w:pPr/>
      <w:r>
        <w:rPr>
          <w:b/>
        </w:rPr>
        <w:t xml:space="preserve">Répartition des recettes de péage (clé à négocier)</w:t>
      </w:r>
    </w:p>
    <w:p>
      <w:pPr/>
      <w:r>
        <w:t xml:space="preserve">Toutes les recettes sont versées sur un compte dédié et réparties chaque mois dans cet ordre :</w:t>
      </w:r>
    </w:p>
    <w:p>
      <w:pPr>
        <w:pStyle w:val="ListParagraph"/>
        <w:numPr>
          <w:ilvl w:val="0"/>
          <w:numId w:val="9"/>
        </w:numPr>
      </w:pPr>
      <w:r>
        <w:t xml:space="preserve">Exploitation et entretien courant de la route : en priorité, sans plafond.</w:t>
      </w:r>
    </w:p>
    <w:p>
      <w:pPr>
        <w:pStyle w:val="ListParagraph"/>
        <w:numPr>
          <w:ilvl w:val="0"/>
          <w:numId w:val="9"/>
        </w:numPr>
      </w:pPr>
      <w:r>
        <w:t xml:space="preserve">Redevance à l'État : 10 % des recettes nettes, versés au Trésor ou au FONER.</w:t>
      </w:r>
    </w:p>
    <w:p>
      <w:pPr>
        <w:pStyle w:val="ListParagraph"/>
        <w:numPr>
          <w:ilvl w:val="0"/>
          <w:numId w:val="9"/>
        </w:numPr>
      </w:pPr>
      <w:r>
        <w:t xml:space="preserve">Fonds d'amélioration de la route : 40 % des recettes nettes, bloqués pour les phases 2 à 4.</w:t>
      </w:r>
    </w:p>
    <w:p>
      <w:pPr>
        <w:pStyle w:val="ListParagraph"/>
        <w:numPr>
          <w:ilvl w:val="0"/>
          <w:numId w:val="9"/>
        </w:numPr>
      </w:pPr>
      <w:r>
        <w:t xml:space="preserve">Remboursement de l'investissement et rémunération d'EIS-EKA : 50 % des recettes nettes.</w:t>
      </w:r>
    </w:p>
    <w:p>
      <w:pPr/>
      <w:r>
        <w:t xml:space="preserve">Une fois l'investissement de la phase 1 remboursé, la part du fonds d'amélioration augmente pour accélérer le bitumage.</w:t>
      </w:r>
    </w:p>
    <w:p>
      <w:pPr/>
      <w:r>
        <w:rPr>
          <w:b/>
        </w:rPr>
        <w:t xml:space="preserve">Amélioration selon les moyens disponibles</w:t>
      </w:r>
    </w:p>
    <w:p>
      <w:pPr>
        <w:pStyle w:val="ListParagraph"/>
        <w:numPr>
          <w:ilvl w:val="0"/>
          <w:numId w:val="10"/>
        </w:numPr>
      </w:pPr>
      <w:r>
        <w:t xml:space="preserve">Chaque année, EIS-EKA soumet à l'Office des Routes un programme d'amélioration basé sur le solde du fonds et les comptages de trafic.</w:t>
      </w:r>
    </w:p>
    <w:p>
      <w:pPr>
        <w:pStyle w:val="ListParagraph"/>
        <w:numPr>
          <w:ilvl w:val="0"/>
          <w:numId w:val="10"/>
        </w:numPr>
      </w:pPr>
      <w:r>
        <w:t xml:space="preserve">Une section passe à la phase suivante dès que le fonds couvre son coût.</w:t>
      </w:r>
    </w:p>
    <w:p>
      <w:pPr>
        <w:pStyle w:val="ListParagraph"/>
        <w:numPr>
          <w:ilvl w:val="0"/>
          <w:numId w:val="10"/>
        </w:numPr>
      </w:pPr>
      <w:r>
        <w:t xml:space="preserve">EIS-EKA peut emprunter sur la base des recettes constatées pour accélérer les travaux, sans engager l'État.</w:t>
      </w:r>
    </w:p>
    <w:p>
      <w:pPr/>
      <w:r>
        <w:rPr>
          <w:b/>
        </w:rPr>
        <w:t xml:space="preserve">Durée et fin de contrat</w:t>
      </w:r>
      <w:r>
        <w:t xml:space="preserve"> : 30 ans, prolongeable par avenant si des investissements d'amélioration ne sont pas encore amortis. À l'échéance, la route et les postes de péage sont remis gratuitement à l'État, en bon état, après un audit contradictoire 3 ans avant la fin.</w:t>
      </w:r>
    </w:p>
    <w:p>
      <w:pPr>
        <w:pStyle w:val="Heading2"/>
      </w:pPr>
      <w:r>
        <w:t xml:space="preserve">7. Matrice des risques</w:t>
      </w:r>
    </w:p>
    <w:p>
      <w:pPr/>
      <w:r>
        <w:t xml:space="preserve">EIS-EKA porte les risques de financement, de travaux et de trafic ; l'État porte ceux qui relèvent de sa souveraineté (sécurité, foncier, fiscalité, autres taxes de passage). Le risque principal est un trafic trop faible pour rembourser l'investissement dans un délai raisonnable.</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Risque</w:t>
            </w:r>
          </w:p>
        </w:tc>
        <w:tc>
          <w:tcPr>
            <w:tcW w:w="2340" w:type="dxa"/>
            <w:shd w:val="clear" w:color="auto" w:fill="F2F2F2"/>
          </w:tcPr>
          <w:p>
            <w:pPr/>
            <w:r>
              <w:t xml:space="preserve">Niveau</w:t>
            </w:r>
          </w:p>
        </w:tc>
        <w:tc>
          <w:tcPr>
            <w:tcW w:w="2340" w:type="dxa"/>
            <w:shd w:val="clear" w:color="auto" w:fill="F2F2F2"/>
          </w:tcPr>
          <w:p>
            <w:pPr/>
            <w:r>
              <w:t xml:space="preserve">Porté par</w:t>
            </w:r>
          </w:p>
        </w:tc>
        <w:tc>
          <w:tcPr>
            <w:tcW w:w="2340" w:type="dxa"/>
            <w:shd w:val="clear" w:color="auto" w:fill="F2F2F2"/>
          </w:tcPr>
          <w:p>
            <w:pPr/>
            <w:r>
              <w:t xml:space="preserve">Mesures d'atténuation</w:t>
            </w:r>
          </w:p>
        </w:tc>
      </w:tr>
      <w:tr>
        <w:tc>
          <w:tcPr>
            <w:tcW w:w="2340" w:type="dxa"/>
          </w:tcPr>
          <w:p>
            <w:pPr/>
            <w:r>
              <w:t xml:space="preserve">Trafic et recettes insuffisants</w:t>
            </w:r>
          </w:p>
        </w:tc>
        <w:tc>
          <w:tcPr>
            <w:tcW w:w="2340" w:type="dxa"/>
          </w:tcPr>
          <w:p>
            <w:pPr/>
            <w:r>
              <w:t xml:space="preserve">Élevé</w:t>
            </w:r>
          </w:p>
        </w:tc>
        <w:tc>
          <w:tcPr>
            <w:tcW w:w="2340" w:type="dxa"/>
          </w:tcPr>
          <w:p>
            <w:pPr/>
            <w:r>
              <w:t xml:space="preserve">EIS-EKA</w:t>
            </w:r>
          </w:p>
        </w:tc>
        <w:tc>
          <w:tcPr>
            <w:tcW w:w="2340" w:type="dxa"/>
          </w:tcPr>
          <w:p>
            <w:pPr/>
            <w:r>
              <w:t xml:space="preserve">Comptages avant engagement, investissement de phase 1 limité au strict nécessaire, ouverture des péages lot par lot, prolongation de la concession si non amorti</w:t>
            </w:r>
          </w:p>
        </w:tc>
      </w:tr>
      <w:tr>
        <w:tc>
          <w:tcPr>
            <w:tcW w:w="2340" w:type="dxa"/>
          </w:tcPr>
          <w:p>
            <w:pPr/>
            <w:r>
              <w:t xml:space="preserve">Sécurité et conflits armés</w:t>
            </w:r>
          </w:p>
        </w:tc>
        <w:tc>
          <w:tcPr>
            <w:tcW w:w="2340" w:type="dxa"/>
          </w:tcPr>
          <w:p>
            <w:pPr/>
            <w:r>
              <w:t xml:space="preserve">Élevé</w:t>
            </w:r>
          </w:p>
        </w:tc>
        <w:tc>
          <w:tcPr>
            <w:tcW w:w="2340" w:type="dxa"/>
          </w:tcPr>
          <w:p>
            <w:pPr/>
            <w:r>
              <w:t xml:space="preserve">État</w:t>
            </w:r>
          </w:p>
        </w:tc>
        <w:tc>
          <w:tcPr>
            <w:tcW w:w="2340" w:type="dxa"/>
          </w:tcPr>
          <w:p>
            <w:pPr/>
            <w:r>
              <w:t xml:space="preserve">Sécurisation des chantiers et des postes par les FARDC et la PNC, démarrage par les sections sûres, suspension des délais en cas d'insécurité</w:t>
            </w:r>
          </w:p>
        </w:tc>
      </w:tr>
      <w:tr>
        <w:tc>
          <w:tcPr>
            <w:tcW w:w="2340" w:type="dxa"/>
          </w:tcPr>
          <w:p>
            <w:pPr/>
            <w:r>
              <w:t xml:space="preserve">Refus du péage par les usagers et riverains</w:t>
            </w:r>
          </w:p>
        </w:tc>
        <w:tc>
          <w:tcPr>
            <w:tcW w:w="2340" w:type="dxa"/>
          </w:tcPr>
          <w:p>
            <w:pPr/>
            <w:r>
              <w:t xml:space="preserve">Élevé</w:t>
            </w:r>
          </w:p>
        </w:tc>
        <w:tc>
          <w:tcPr>
            <w:tcW w:w="2340" w:type="dxa"/>
          </w:tcPr>
          <w:p>
            <w:pPr/>
            <w:r>
              <w:t xml:space="preserve">Partagé</w:t>
            </w:r>
          </w:p>
        </w:tc>
        <w:tc>
          <w:tcPr>
            <w:tcW w:w="2340" w:type="dxa"/>
          </w:tcPr>
          <w:p>
            <w:pPr/>
            <w:r>
              <w:t xml:space="preserve">Pas de péage avant réouverture, tarifs modérés, exonération ou tarif réduit pour piétons, vélos et motos locales, sensibilisation avec les autorités coutumières</w:t>
            </w:r>
          </w:p>
        </w:tc>
      </w:tr>
      <w:tr>
        <w:tc>
          <w:tcPr>
            <w:tcW w:w="2340" w:type="dxa"/>
          </w:tcPr>
          <w:p>
            <w:pPr/>
            <w:r>
              <w:t xml:space="preserve">Dégradation rapide de la route en terre en saison des pluies</w:t>
            </w:r>
          </w:p>
        </w:tc>
        <w:tc>
          <w:tcPr>
            <w:tcW w:w="2340" w:type="dxa"/>
          </w:tcPr>
          <w:p>
            <w:pPr/>
            <w:r>
              <w:t xml:space="preserve">Élevé</w:t>
            </w:r>
          </w:p>
        </w:tc>
        <w:tc>
          <w:tcPr>
            <w:tcW w:w="2340" w:type="dxa"/>
          </w:tcPr>
          <w:p>
            <w:pPr/>
            <w:r>
              <w:t xml:space="preserve">EIS-EKA</w:t>
            </w:r>
          </w:p>
        </w:tc>
        <w:tc>
          <w:tcPr>
            <w:tcW w:w="2340" w:type="dxa"/>
          </w:tcPr>
          <w:p>
            <w:pPr/>
            <w:r>
              <w:t xml:space="preserve">Brigades permanentes, barrières de pluie, pesage des camions, rechargement prioritaire des zones fragiles</w:t>
            </w:r>
          </w:p>
        </w:tc>
      </w:tr>
      <w:tr>
        <w:tc>
          <w:tcPr>
            <w:tcW w:w="2340" w:type="dxa"/>
          </w:tcPr>
          <w:p>
            <w:pPr/>
            <w:r>
              <w:t xml:space="preserve">Double perception (FONER, provinces, entités locales)</w:t>
            </w:r>
          </w:p>
        </w:tc>
        <w:tc>
          <w:tcPr>
            <w:tcW w:w="2340" w:type="dxa"/>
          </w:tcPr>
          <w:p>
            <w:pPr/>
            <w:r>
              <w:t xml:space="preserve">Moyen</w:t>
            </w:r>
          </w:p>
        </w:tc>
        <w:tc>
          <w:tcPr>
            <w:tcW w:w="2340" w:type="dxa"/>
          </w:tcPr>
          <w:p>
            <w:pPr/>
            <w:r>
              <w:t xml:space="preserve">État</w:t>
            </w:r>
          </w:p>
        </w:tc>
        <w:tc>
          <w:tcPr>
            <w:tcW w:w="2340" w:type="dxa"/>
          </w:tcPr>
          <w:p>
            <w:pPr/>
            <w:r>
              <w:t xml:space="preserve">Clause d'exclusivité et arrêté interministériel, compensation si une nouvelle taxe est créée</w:t>
            </w:r>
          </w:p>
        </w:tc>
      </w:tr>
      <w:tr>
        <w:tc>
          <w:tcPr>
            <w:tcW w:w="2340" w:type="dxa"/>
          </w:tcPr>
          <w:p>
            <w:pPr/>
            <w:r>
              <w:t xml:space="preserve">Fraude ou détournement des recettes</w:t>
            </w:r>
          </w:p>
        </w:tc>
        <w:tc>
          <w:tcPr>
            <w:tcW w:w="2340" w:type="dxa"/>
          </w:tcPr>
          <w:p>
            <w:pPr/>
            <w:r>
              <w:t xml:space="preserve">Moyen</w:t>
            </w:r>
          </w:p>
        </w:tc>
        <w:tc>
          <w:tcPr>
            <w:tcW w:w="2340" w:type="dxa"/>
          </w:tcPr>
          <w:p>
            <w:pPr/>
            <w:r>
              <w:t xml:space="preserve">EIS-EKA</w:t>
            </w:r>
          </w:p>
        </w:tc>
        <w:tc>
          <w:tcPr>
            <w:tcW w:w="2340" w:type="dxa"/>
          </w:tcPr>
          <w:p>
            <w:pPr/>
            <w:r>
              <w:t xml:space="preserve">Billetterie électronique, paiement mobile, comptage automatique, audit annuel publié</w:t>
            </w:r>
          </w:p>
        </w:tc>
      </w:tr>
      <w:tr>
        <w:tc>
          <w:tcPr>
            <w:tcW w:w="2340" w:type="dxa"/>
          </w:tcPr>
          <w:p>
            <w:pPr/>
            <w:r>
              <w:t xml:space="preserve">Libération des emprises</w:t>
            </w:r>
          </w:p>
        </w:tc>
        <w:tc>
          <w:tcPr>
            <w:tcW w:w="2340" w:type="dxa"/>
          </w:tcPr>
          <w:p>
            <w:pPr/>
            <w:r>
              <w:t xml:space="preserve">Moyen</w:t>
            </w:r>
          </w:p>
        </w:tc>
        <w:tc>
          <w:tcPr>
            <w:tcW w:w="2340" w:type="dxa"/>
          </w:tcPr>
          <w:p>
            <w:pPr/>
            <w:r>
              <w:t xml:space="preserve">État</w:t>
            </w:r>
          </w:p>
        </w:tc>
        <w:tc>
          <w:tcPr>
            <w:tcW w:w="2340" w:type="dxa"/>
          </w:tcPr>
          <w:p>
            <w:pPr/>
            <w:r>
              <w:t xml:space="preserve">Réouverture dans l'emprise existante, élargissements limités et indemnisés</w:t>
            </w:r>
          </w:p>
        </w:tc>
      </w:tr>
      <w:tr>
        <w:tc>
          <w:tcPr>
            <w:tcW w:w="2340" w:type="dxa"/>
          </w:tcPr>
          <w:p>
            <w:pPr/>
            <w:r>
              <w:t xml:space="preserve">Change (USD / CDF)</w:t>
            </w:r>
          </w:p>
        </w:tc>
        <w:tc>
          <w:tcPr>
            <w:tcW w:w="2340" w:type="dxa"/>
          </w:tcPr>
          <w:p>
            <w:pPr/>
            <w:r>
              <w:t xml:space="preserve">Moyen</w:t>
            </w:r>
          </w:p>
        </w:tc>
        <w:tc>
          <w:tcPr>
            <w:tcW w:w="2340" w:type="dxa"/>
          </w:tcPr>
          <w:p>
            <w:pPr/>
            <w:r>
              <w:t xml:space="preserve">Partagé</w:t>
            </w:r>
          </w:p>
        </w:tc>
        <w:tc>
          <w:tcPr>
            <w:tcW w:w="2340" w:type="dxa"/>
          </w:tcPr>
          <w:p>
            <w:pPr/>
            <w:r>
              <w:t xml:space="preserve">Tarifs fixés en USD, payables en CDF au taux du jour, révision annuelle</w:t>
            </w:r>
          </w:p>
        </w:tc>
      </w:tr>
      <w:tr>
        <w:tc>
          <w:tcPr>
            <w:tcW w:w="2340" w:type="dxa"/>
          </w:tcPr>
          <w:p>
            <w:pPr/>
            <w:r>
              <w:t xml:space="preserve">Changement de loi ou de fiscalité</w:t>
            </w:r>
          </w:p>
        </w:tc>
        <w:tc>
          <w:tcPr>
            <w:tcW w:w="2340" w:type="dxa"/>
          </w:tcPr>
          <w:p>
            <w:pPr/>
            <w:r>
              <w:t xml:space="preserve">Faible à moyen</w:t>
            </w:r>
          </w:p>
        </w:tc>
        <w:tc>
          <w:tcPr>
            <w:tcW w:w="2340" w:type="dxa"/>
          </w:tcPr>
          <w:p>
            <w:pPr/>
            <w:r>
              <w:t xml:space="preserve">État</w:t>
            </w:r>
          </w:p>
        </w:tc>
        <w:tc>
          <w:tcPr>
            <w:tcW w:w="2340" w:type="dxa"/>
          </w:tcPr>
          <w:p>
            <w:pPr/>
            <w:r>
              <w:t xml:space="preserve">Clause de stabilité et d'équilibre financier</w:t>
            </w:r>
          </w:p>
        </w:tc>
      </w:tr>
    </w:tbl>
    <w:p>
      <w:pPr/>
      <w:r>
        <w:t xml:space="preserve">À titre indicatif, avec un investissement de phase 1 d'environ 35 M USD, le retour sur investissement prendrait plus de 20 ans dans le scénario moyen, et 6 à 8 ans dans le scénario fort. Les comptages de trafic sont donc la première tâche à réaliser.</w:t>
      </w:r>
    </w:p>
    <w:p>
      <w:pPr>
        <w:pStyle w:val="Heading2"/>
      </w:pPr>
      <w:r>
        <w:t xml:space="preserve">8. Impacts socio-économiques et environnementaux</w:t>
      </w:r>
    </w:p>
    <w:p>
      <w:pPr/>
      <w:r>
        <w:t xml:space="preserve">La route réduira fortement les temps et coûts de transport entre Uvira et Kalemie ; les gains chiffrés seront établis par l'étude socio-économique.</w:t>
      </w:r>
    </w:p>
    <w:p>
      <w:pPr/>
      <w:r>
        <w:rPr>
          <w:b/>
        </w:rPr>
        <w:t xml:space="preserve">Impacts positifs attendus</w:t>
      </w:r>
    </w:p>
    <w:p>
      <w:pPr>
        <w:pStyle w:val="ListParagraph"/>
        <w:numPr>
          <w:ilvl w:val="0"/>
          <w:numId w:val="11"/>
        </w:numPr>
      </w:pPr>
      <w:r>
        <w:t xml:space="preserve">Baisse des coûts de transport et des prix des produits de base dans les territoires d'Uvira, Fizi et Kalemie.</w:t>
      </w:r>
    </w:p>
    <w:p>
      <w:pPr>
        <w:pStyle w:val="ListParagraph"/>
        <w:numPr>
          <w:ilvl w:val="0"/>
          <w:numId w:val="11"/>
        </w:numPr>
      </w:pPr>
      <w:r>
        <w:t xml:space="preserve">Écoulement des productions agricoles et halieutiques (manioc, maïs, huile de palme, poisson du lac).</w:t>
      </w:r>
    </w:p>
    <w:p>
      <w:pPr>
        <w:pStyle w:val="ListParagraph"/>
        <w:numPr>
          <w:ilvl w:val="0"/>
          <w:numId w:val="11"/>
        </w:numPr>
      </w:pPr>
      <w:r>
        <w:t xml:space="preserve">Accès permanent aux hôpitaux, écoles et services administratifs.</w:t>
      </w:r>
    </w:p>
    <w:p>
      <w:pPr>
        <w:pStyle w:val="ListParagraph"/>
        <w:numPr>
          <w:ilvl w:val="0"/>
          <w:numId w:val="11"/>
        </w:numPr>
      </w:pPr>
      <w:r>
        <w:t xml:space="preserve">Emplois : plusieurs centaines d'emplois directs dès la réouverture, à pourvoir en priorité localement, puis des emplois permanents aux postes de péage et dans les brigades d'entretien.</w:t>
      </w:r>
    </w:p>
    <w:p>
      <w:pPr>
        <w:pStyle w:val="ListParagraph"/>
        <w:numPr>
          <w:ilvl w:val="0"/>
          <w:numId w:val="11"/>
        </w:numPr>
      </w:pPr>
      <w:r>
        <w:t xml:space="preserve">Recettes publiques nouvelles : droits de douane et taxes liés au commerce régional.</w:t>
      </w:r>
    </w:p>
    <w:p>
      <w:pPr/>
      <w:r>
        <w:rPr>
          <w:b/>
        </w:rPr>
        <w:t xml:space="preserve">Gestion environnementale et sociale</w:t>
      </w:r>
    </w:p>
    <w:p>
      <w:pPr>
        <w:pStyle w:val="ListParagraph"/>
        <w:numPr>
          <w:ilvl w:val="0"/>
          <w:numId w:val="12"/>
        </w:numPr>
      </w:pPr>
      <w:r>
        <w:t xml:space="preserve">Étude d'impact environnemental et social (EIES) approuvée par l'Agence Congolaise de l'Environnement avant le démarrage des travaux.</w:t>
      </w:r>
    </w:p>
    <w:p>
      <w:pPr>
        <w:pStyle w:val="ListParagraph"/>
        <w:numPr>
          <w:ilvl w:val="0"/>
          <w:numId w:val="12"/>
        </w:numPr>
      </w:pPr>
      <w:r>
        <w:t xml:space="preserve">Application des normes de performance environnementale et sociale de la SFI, reconnues par les banques.</w:t>
      </w:r>
    </w:p>
    <w:p>
      <w:pPr>
        <w:pStyle w:val="ListParagraph"/>
        <w:numPr>
          <w:ilvl w:val="0"/>
          <w:numId w:val="12"/>
        </w:numPr>
      </w:pPr>
      <w:r>
        <w:t xml:space="preserve">Protection des rives du lac Tanganyika et des zones sensibles ; remise en état des carrières et emprunts.</w:t>
      </w:r>
    </w:p>
    <w:p>
      <w:pPr>
        <w:pStyle w:val="ListParagraph"/>
        <w:numPr>
          <w:ilvl w:val="0"/>
          <w:numId w:val="12"/>
        </w:numPr>
      </w:pPr>
      <w:r>
        <w:t xml:space="preserve">Plan d'action de réinstallation pour les personnes affectées, avec indemnisation préalable.</w:t>
      </w:r>
    </w:p>
    <w:p>
      <w:pPr>
        <w:pStyle w:val="ListParagraph"/>
        <w:numPr>
          <w:ilvl w:val="0"/>
          <w:numId w:val="12"/>
        </w:numPr>
      </w:pPr>
      <w:r>
        <w:t xml:space="preserve">Mécanisme de gestion des plaintes, prévention des violences basées sur le genre et sensibilisation au VIH en chantier.</w:t>
      </w:r>
    </w:p>
    <w:p>
      <w:pPr>
        <w:pStyle w:val="ListParagraph"/>
        <w:numPr>
          <w:ilvl w:val="0"/>
          <w:numId w:val="12"/>
        </w:numPr>
      </w:pPr>
      <w:r>
        <w:t xml:space="preserve">Cahier des charges social négocié avec les communautés riveraines (points d'eau, écoles, centres de santé).</w:t>
      </w:r>
    </w:p>
    <w:p>
      <w:pPr>
        <w:pStyle w:val="Heading2"/>
      </w:pPr>
      <w:r>
        <w:t xml:space="preserve">9. Présentation du Groupe EIS-EKA</w:t>
      </w:r>
    </w:p>
    <w:p>
      <w:pPr/>
      <w:r>
        <w:t xml:space="preserve">Le Groupe EIS-EKA porte et finance seul le projet, entouré de partenaires techniques spécialisés. Les éléments entre crochets sont à compléter par le Groupe.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Rubrique</w:t>
            </w:r>
          </w:p>
        </w:tc>
        <w:tc>
          <w:tcPr>
            <w:tcW w:w="4680" w:type="dxa"/>
            <w:shd w:val="clear" w:color="auto" w:fill="F2F2F2"/>
          </w:tcPr>
          <w:p>
            <w:pPr/>
            <w:r>
              <w:t xml:space="preserve">Information</w:t>
            </w:r>
          </w:p>
        </w:tc>
      </w:tr>
      <w:tr>
        <w:tc>
          <w:tcPr>
            <w:tcW w:w="4680" w:type="dxa"/>
          </w:tcPr>
          <w:p>
            <w:pPr/>
            <w:r>
              <w:t xml:space="preserve">Raison sociale et forme juridique</w:t>
            </w:r>
          </w:p>
        </w:tc>
        <w:tc>
          <w:tcPr>
            <w:tcW w:w="4680" w:type="dxa"/>
          </w:tcPr>
          <w:p>
            <w:pPr/>
            <w:r>
              <w:t xml:space="preserve">[à compléter]</w:t>
            </w:r>
          </w:p>
        </w:tc>
      </w:tr>
      <w:tr>
        <w:tc>
          <w:tcPr>
            <w:tcW w:w="4680" w:type="dxa"/>
          </w:tcPr>
          <w:p>
            <w:pPr/>
            <w:r>
              <w:t xml:space="preserve">Siège et représentation en RDC</w:t>
            </w:r>
          </w:p>
        </w:tc>
        <w:tc>
          <w:tcPr>
            <w:tcW w:w="4680" w:type="dxa"/>
          </w:tcPr>
          <w:p>
            <w:pPr/>
            <w:r>
              <w:t xml:space="preserve">[à compléter]</w:t>
            </w:r>
          </w:p>
        </w:tc>
      </w:tr>
      <w:tr>
        <w:tc>
          <w:tcPr>
            <w:tcW w:w="4680" w:type="dxa"/>
          </w:tcPr>
          <w:p>
            <w:pPr/>
            <w:r>
              <w:t xml:space="preserve">Domaines d'activité</w:t>
            </w:r>
          </w:p>
        </w:tc>
        <w:tc>
          <w:tcPr>
            <w:tcW w:w="4680" w:type="dxa"/>
          </w:tcPr>
          <w:p>
            <w:pPr/>
            <w:r>
              <w:t xml:space="preserve">[infrastructures, BTP, ingénierie, énergie…]</w:t>
            </w:r>
          </w:p>
        </w:tc>
      </w:tr>
      <w:tr>
        <w:tc>
          <w:tcPr>
            <w:tcW w:w="4680" w:type="dxa"/>
          </w:tcPr>
          <w:p>
            <w:pPr/>
            <w:r>
              <w:t xml:space="preserve">Références de projets routiers ou d'infrastructures</w:t>
            </w:r>
          </w:p>
        </w:tc>
        <w:tc>
          <w:tcPr>
            <w:tcW w:w="4680" w:type="dxa"/>
          </w:tcPr>
          <w:p>
            <w:pPr/>
            <w:r>
              <w:t xml:space="preserve">[projets, pays, montants, années]</w:t>
            </w:r>
          </w:p>
        </w:tc>
      </w:tr>
      <w:tr>
        <w:tc>
          <w:tcPr>
            <w:tcW w:w="4680" w:type="dxa"/>
          </w:tcPr>
          <w:p>
            <w:pPr/>
            <w:r>
              <w:t xml:space="preserve">Capacité financière</w:t>
            </w:r>
          </w:p>
        </w:tc>
        <w:tc>
          <w:tcPr>
            <w:tcW w:w="4680" w:type="dxa"/>
          </w:tcPr>
          <w:p>
            <w:pPr/>
            <w:r>
              <w:t xml:space="preserve">[chiffre d'affaires, fonds propres, attestation bancaire de disponibilité des fonds pour la phase 1]</w:t>
            </w:r>
          </w:p>
        </w:tc>
      </w:tr>
      <w:tr>
        <w:tc>
          <w:tcPr>
            <w:tcW w:w="4680" w:type="dxa"/>
          </w:tcPr>
          <w:p>
            <w:pPr/>
            <w:r>
              <w:t xml:space="preserve">Partenaires techniques (constructeur, bureau d'études)</w:t>
            </w:r>
          </w:p>
        </w:tc>
        <w:tc>
          <w:tcPr>
            <w:tcW w:w="4680" w:type="dxa"/>
          </w:tcPr>
          <w:p>
            <w:pPr/>
            <w:r>
              <w:t xml:space="preserve">[noms et lettres d'intention]</w:t>
            </w:r>
          </w:p>
        </w:tc>
      </w:tr>
      <w:tr>
        <w:tc>
          <w:tcPr>
            <w:tcW w:w="4680" w:type="dxa"/>
          </w:tcPr>
          <w:p>
            <w:pPr/>
            <w:r>
              <w:t xml:space="preserve">Partenaires bancaires</w:t>
            </w:r>
          </w:p>
        </w:tc>
        <w:tc>
          <w:tcPr>
            <w:tcW w:w="4680" w:type="dxa"/>
          </w:tcPr>
          <w:p>
            <w:pPr/>
            <w:r>
              <w:t xml:space="preserve">[banques du Groupe, lignes de crédit disponibles pour les phases suivantes]</w:t>
            </w:r>
          </w:p>
        </w:tc>
      </w:tr>
      <w:tr>
        <w:tc>
          <w:tcPr>
            <w:tcW w:w="4680" w:type="dxa"/>
          </w:tcPr>
          <w:p>
            <w:pPr/>
            <w:r>
              <w:t xml:space="preserve">Expérience en PPP</w:t>
            </w:r>
          </w:p>
        </w:tc>
        <w:tc>
          <w:tcPr>
            <w:tcW w:w="4680" w:type="dxa"/>
          </w:tcPr>
          <w:p>
            <w:pPr/>
            <w:r>
              <w:t xml:space="preserve">[concessions, contrats d'entretien, etc.]</w:t>
            </w:r>
          </w:p>
        </w:tc>
      </w:tr>
    </w:tbl>
    <w:p>
      <w:pPr/>
      <w:r>
        <w:rPr>
          <w:b/>
        </w:rPr>
        <w:t xml:space="preserve">Organisation proposée du consortium</w:t>
      </w:r>
    </w:p>
    <w:p>
      <w:pPr>
        <w:pStyle w:val="ListParagraph"/>
        <w:numPr>
          <w:ilvl w:val="0"/>
          <w:numId w:val="13"/>
        </w:numPr>
      </w:pPr>
      <w:r>
        <w:t xml:space="preserve">EIS-EKA : chef de file, développement, relations avec l'État, actionnaire principal.</w:t>
      </w:r>
    </w:p>
    <w:p>
      <w:pPr>
        <w:pStyle w:val="ListParagraph"/>
        <w:numPr>
          <w:ilvl w:val="0"/>
          <w:numId w:val="13"/>
        </w:numPr>
      </w:pPr>
      <w:r>
        <w:t xml:space="preserve">Entreprise générale de construction (EPC) de référence internationale, associée à des PME congolaises.</w:t>
      </w:r>
    </w:p>
    <w:p>
      <w:pPr>
        <w:pStyle w:val="ListParagraph"/>
        <w:numPr>
          <w:ilvl w:val="0"/>
          <w:numId w:val="13"/>
        </w:numPr>
      </w:pPr>
      <w:r>
        <w:t xml:space="preserve">Bureau d'études et d'ingénierie pour les études APS, APD et l'EIES.</w:t>
      </w:r>
    </w:p>
    <w:p>
      <w:pPr>
        <w:pStyle w:val="ListParagraph"/>
        <w:numPr>
          <w:ilvl w:val="0"/>
          <w:numId w:val="13"/>
        </w:numPr>
      </w:pPr>
      <w:r>
        <w:t xml:space="preserve">Opérateur d'exploitation et d'entretien routier.</w:t>
      </w:r>
    </w:p>
    <w:p>
      <w:pPr>
        <w:pStyle w:val="ListParagraph"/>
        <w:numPr>
          <w:ilvl w:val="0"/>
          <w:numId w:val="13"/>
        </w:numPr>
      </w:pPr>
      <w:r>
        <w:t xml:space="preserve">Conseillers juridique et financier spécialisés en PPP.</w:t>
      </w:r>
    </w:p>
    <w:p>
      <w:pPr>
        <w:pStyle w:val="Heading2"/>
      </w:pPr>
      <w:r>
        <w:t xml:space="preserve">10. Prochaines étapes et demandes au Ministère</w:t>
      </w:r>
    </w:p>
    <w:p>
      <w:pPr/>
      <w:r>
        <w:t xml:space="preserve">La décision attendue du Ministre est la signature de la convention de concession et de l'arrêté de péage ; EIS-EKA démarre alors les travaux de réouverture dans les 60 jours.</w:t>
      </w:r>
    </w:p>
    <w:p>
      <w:pPr/>
      <w:r>
        <w:rPr>
          <w:b/>
        </w:rPr>
        <w:t xml:space="preserve">Ce que nous demandons au Ministère</w:t>
      </w:r>
    </w:p>
    <w:p>
      <w:pPr>
        <w:pStyle w:val="ListParagraph"/>
        <w:numPr>
          <w:ilvl w:val="0"/>
          <w:numId w:val="14"/>
        </w:numPr>
      </w:pPr>
      <w:r>
        <w:t xml:space="preserve">Signer une convention de concession Réhabiliter-Exploiter-Transférer de 30 ans sur le tronçon Uvira – Kalemie.</w:t>
      </w:r>
    </w:p>
    <w:p>
      <w:pPr>
        <w:pStyle w:val="ListParagraph"/>
        <w:numPr>
          <w:ilvl w:val="0"/>
          <w:numId w:val="14"/>
        </w:numPr>
      </w:pPr>
      <w:r>
        <w:t xml:space="preserve">Faire prendre l'arrêté autorisant la perception du péage, l'implantation des postes environ tous les 50 km et la grille tarifaire.</w:t>
      </w:r>
    </w:p>
    <w:p>
      <w:pPr>
        <w:pStyle w:val="ListParagraph"/>
        <w:numPr>
          <w:ilvl w:val="0"/>
          <w:numId w:val="14"/>
        </w:numPr>
      </w:pPr>
      <w:r>
        <w:t xml:space="preserve">Organiser la coordination avec le FONER, les gouvernorats du Sud-Kivu et du Tanganyika et les entités locales pour l'exclusivité de la perception.</w:t>
      </w:r>
    </w:p>
    <w:p>
      <w:pPr>
        <w:pStyle w:val="ListParagraph"/>
        <w:numPr>
          <w:ilvl w:val="0"/>
          <w:numId w:val="14"/>
        </w:numPr>
      </w:pPr>
      <w:r>
        <w:t xml:space="preserve">Demander aux services de sécurité la protection des chantiers et des postes de péage.</w:t>
      </w:r>
    </w:p>
    <w:p>
      <w:pPr>
        <w:pStyle w:val="ListParagraph"/>
        <w:numPr>
          <w:ilvl w:val="0"/>
          <w:numId w:val="14"/>
        </w:numPr>
      </w:pPr>
      <w:r>
        <w:t xml:space="preserve">Accorder le régime d'exonération prévu pour les PPP sur les engins, matériaux et équipements importés.</w:t>
      </w:r>
    </w:p>
    <w:p>
      <w:pPr/>
      <w:r>
        <w:rPr>
          <w:b/>
        </w:rPr>
        <w:t xml:space="preserve">Ce à quoi EIS-EKA s'engage</w:t>
      </w:r>
    </w:p>
    <w:p>
      <w:pPr>
        <w:pStyle w:val="ListParagraph"/>
        <w:numPr>
          <w:ilvl w:val="0"/>
          <w:numId w:val="15"/>
        </w:numPr>
      </w:pPr>
      <w:r>
        <w:t xml:space="preserve">Présenter une attestation bancaire de disponibilité des fonds de la phase 1 avant la signature.</w:t>
      </w:r>
    </w:p>
    <w:p>
      <w:pPr>
        <w:pStyle w:val="ListParagraph"/>
        <w:numPr>
          <w:ilvl w:val="0"/>
          <w:numId w:val="15"/>
        </w:numPr>
      </w:pPr>
      <w:r>
        <w:t xml:space="preserve">Mobiliser les engins et démarrer les travaux dans les 60 jours suivant la signature.</w:t>
      </w:r>
    </w:p>
    <w:p>
      <w:pPr>
        <w:pStyle w:val="ListParagraph"/>
        <w:numPr>
          <w:ilvl w:val="0"/>
          <w:numId w:val="15"/>
        </w:numPr>
      </w:pPr>
      <w:r>
        <w:t xml:space="preserve">Rouvrir l'ensemble du tronçon en 12 à 18 mois, en commençant par Uvira – Baraka.</w:t>
      </w:r>
    </w:p>
    <w:p>
      <w:pPr>
        <w:pStyle w:val="ListParagraph"/>
        <w:numPr>
          <w:ilvl w:val="0"/>
          <w:numId w:val="15"/>
        </w:numPr>
      </w:pPr>
      <w:r>
        <w:t xml:space="preserve">Fournir une garantie de bonne exécution et rendre compte chaque trimestre à l'Office des Routes.</w:t>
      </w:r>
    </w:p>
    <w:p>
      <w:pPr/>
      <w:r>
        <w:rPr>
          <w:b/>
        </w:rPr>
        <w:t xml:space="preserve">Feuille de route</w:t>
      </w:r>
    </w:p>
    <w:p>
      <w:pPr/>
      <w:r>
        <w:drawing>
          <wp:inline distT="0" distB="0" distL="0" distR="0">
            <wp:extent cx="5486400" cy="4041321"/>
            <wp:docPr id="1" name="image1" descr="Feuille de route · 4 phases et leurs conditions de passage"/>
            <a:graphic xmlns:a="http://schemas.openxmlformats.org/drawingml/2006/main">
              <a:graphicData uri="http://schemas.openxmlformats.org/drawingml/2006/picture">
                <pic:pic xmlns:pic="http://schemas.openxmlformats.org/drawingml/2006/picture">
                  <pic:nvPicPr>
                    <pic:cNvPr id="1" name="image1" descr="Feuille de route · 4 phases et leurs conditions de passage"/>
                    <pic:cNvPicPr/>
                  </pic:nvPicPr>
                  <pic:blipFill>
                    <a:blip r:embed="rId3"/>
                    <a:stretch>
                      <a:fillRect/>
                    </a:stretch>
                  </pic:blipFill>
                  <pic:spPr>
                    <a:xfrm>
                      <a:off x="0" y="0"/>
                      <a:ext cx="5486400" cy="4041321"/>
                    </a:xfrm>
                    <a:prstGeom prst="rect">
                      <a:avLst/>
                    </a:prstGeom>
                  </pic:spPr>
                </pic:pic>
              </a:graphicData>
            </a:graphic>
          </wp:inline>
        </w:drawing>
      </w:r>
    </w:p>
    <w:p>
      <w:pPr/>
      <w:r>
        <w:t xml:space="preserve">Feuille de route · 4 phases et leurs conditions de passage</w:t>
      </w:r>
    </w:p>
    <w:p>
      <w:pPr/>
      <w:r>
        <w:t xml:space="preserve">Seule la phase 1 a une date ferme ; les phases suivantes avancent section par section, dès que les recettes le permettent.</w:t>
      </w:r>
    </w:p>
    <w:p>
      <w:pPr>
        <w:pStyle w:val="Heading2"/>
      </w:pPr>
      <w:r>
        <w:t xml:space="preserve">11. Annexes à joindre au dossier papier</w:t>
      </w:r>
    </w:p>
    <w:p>
      <w:pPr>
        <w:pStyle w:val="ListParagraph"/>
        <w:numPr>
          <w:ilvl w:val="0"/>
          <w:numId w:val="16"/>
        </w:numPr>
      </w:pPr>
      <w:r>
        <w:t xml:space="preserve">☒ Carte du tracé Uvira – Kalemie avec découpage en lots</w:t>
      </w:r>
    </w:p>
    <w:p>
      <w:pPr>
        <w:pStyle w:val="ListParagraph"/>
        <w:numPr>
          <w:ilvl w:val="0"/>
          <w:numId w:val="16"/>
        </w:numPr>
      </w:pPr>
      <w:r>
        <w:t xml:space="preserve">☒ Statuts, RCCM, identification nationale et numéro fiscal du Groupe EIS-EKA</w:t>
      </w:r>
    </w:p>
    <w:p>
      <w:pPr>
        <w:pStyle w:val="ListParagraph"/>
        <w:numPr>
          <w:ilvl w:val="0"/>
          <w:numId w:val="16"/>
        </w:numPr>
      </w:pPr>
      <w:r>
        <w:t xml:space="preserve">☐ États financiers certifiés des 3 derniers exercices</w:t>
      </w:r>
    </w:p>
    <w:p>
      <w:pPr>
        <w:pStyle w:val="ListParagraph"/>
        <w:numPr>
          <w:ilvl w:val="0"/>
          <w:numId w:val="16"/>
        </w:numPr>
      </w:pPr>
      <w:r>
        <w:t xml:space="preserve">☐ Attestations de références de projets similaires</w:t>
      </w:r>
    </w:p>
    <w:p>
      <w:pPr>
        <w:pStyle w:val="ListParagraph"/>
        <w:numPr>
          <w:ilvl w:val="0"/>
          <w:numId w:val="16"/>
        </w:numPr>
      </w:pPr>
      <w:r>
        <w:t xml:space="preserve">☐ Lettres d'intention des partenaires techniques (constructeur, bureau d'études)</w:t>
      </w:r>
    </w:p>
    <w:p>
      <w:pPr>
        <w:pStyle w:val="ListParagraph"/>
        <w:numPr>
          <w:ilvl w:val="0"/>
          <w:numId w:val="16"/>
        </w:numPr>
      </w:pPr>
      <w:r>
        <w:t xml:space="preserve">☐ Attestation bancaire de disponibilité des fonds propres pour la phase 1</w:t>
      </w:r>
    </w:p>
    <w:p>
      <w:pPr>
        <w:pStyle w:val="ListParagraph"/>
        <w:numPr>
          <w:ilvl w:val="0"/>
          <w:numId w:val="16"/>
        </w:numPr>
      </w:pPr>
      <w:r>
        <w:t xml:space="preserve">☐ Projet de convention de concession et projet d'arrêté de péage</w:t>
      </w:r>
    </w:p>
    <w:p>
      <w:pPr>
        <w:pStyle w:val="ListParagraph"/>
        <w:numPr>
          <w:ilvl w:val="0"/>
          <w:numId w:val="16"/>
        </w:numPr>
      </w:pPr>
      <w:r>
        <w:t xml:space="preserve">☐ Plan d'implantation des postes de péage et grille tarifaire proposée</w:t>
      </w:r>
    </w:p>
    <w:p>
      <w:pPr>
        <w:pStyle w:val="ListParagraph"/>
        <w:numPr>
          <w:ilvl w:val="0"/>
          <w:numId w:val="16"/>
        </w:numPr>
      </w:pPr>
      <w:r>
        <w:t xml:space="preserve">☐ Photos et rapport de reconnaissance de terrain, si disponibles</w:t>
      </w:r>
    </w:p>
    <w:p>
      <w:pPr/>
      <w:r>
        <w:rPr>
          <w:i/>
        </w:rPr>
        <w:t xml:space="preserve">Note : les coûts, longueurs et délais de ce document sont des estimations préliminaires. Ils seront confirmés par les études de faisabilité détaillées.</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0"/>
  </w:num>
  <w:num w:numId="5">
    <w:abstractNumId w:val="0"/>
  </w:num>
  <w:num w:numId="6">
    <w:abstractNumId w:val="0"/>
  </w:num>
  <w:num w:numId="7">
    <w:abstractNumId w:val="0"/>
  </w:num>
  <w:num w:numId="8">
    <w:abstractNumId w:val="0"/>
  </w:num>
  <w:num w:numId="9">
    <w:abstractNumId w:val="1"/>
    <w:lvlOverride w:ilvl="0">
      <w:startOverride w:val="1"/>
    </w:lvlOverride>
  </w:num>
  <w:num w:numId="10">
    <w:abstractNumId w:val="0"/>
  </w:num>
  <w:num w:numId="11">
    <w:abstractNumId w:val="0"/>
  </w:num>
  <w:num w:numId="12">
    <w:abstractNumId w:val="0"/>
  </w:num>
  <w:num w:numId="13">
    <w:abstractNumId w:val="0"/>
  </w:num>
  <w:num w:numId="14">
    <w:abstractNumId w:val="1"/>
    <w:lvlOverride w:ilvl="0">
      <w:startOverride w:val="1"/>
    </w:lvlOverride>
  </w:num>
  <w:num w:numId="15">
    <w:abstractNumId w:val="0"/>
  </w:num>
  <w:num w:numId="16">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Proposition technique de faisabilité – Route Nationale n°5 (RN5), tronçon Uvira</dc:title>
  <dc:description>Claude Docs node/1c18cb91-d464@46 docx-w6</dc:description>
  <cp:revision>46</cp:revision>
</cp:coreProperties>
</file>