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3EEACF1"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r w:rsidR="00BC147D">
        <w:rPr>
          <w:rFonts w:cstheme="minorHAnsi"/>
        </w:rPr>
        <w:t xml:space="preserve">  </w:t>
      </w:r>
      <w:bookmarkStart w:id="0" w:name="_GoBack"/>
      <w:bookmarkEnd w:id="0"/>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 xml:space="preserve">Transparency vs </w:t>
      </w:r>
      <w:proofErr w:type="spellStart"/>
      <w:r w:rsidRPr="009428EB">
        <w:rPr>
          <w:rFonts w:asciiTheme="minorHAnsi" w:hAnsiTheme="minorHAnsi" w:cstheme="minorHAnsi"/>
        </w:rPr>
        <w:t>Explainability</w:t>
      </w:r>
      <w:proofErr w:type="spellEnd"/>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proofErr w:type="spellStart"/>
      <w:r w:rsidRPr="009428EB">
        <w:rPr>
          <w:rStyle w:val="Strong"/>
          <w:rFonts w:asciiTheme="minorHAnsi" w:hAnsiTheme="minorHAnsi" w:cstheme="minorHAnsi"/>
        </w:rPr>
        <w:t>Explainability</w:t>
      </w:r>
      <w:proofErr w:type="spellEnd"/>
      <w:r w:rsidRPr="009428EB">
        <w:rPr>
          <w:rFonts w:asciiTheme="minorHAnsi" w:hAnsiTheme="minorHAnsi" w:cstheme="minorHAnsi"/>
        </w:rPr>
        <w:t xml:space="preserve">, on the other hand, refers to how well humans can understand the reasoning behind an AI’s specific decision or prediction. Even if the model is complex (like deep learning), </w:t>
      </w:r>
      <w:proofErr w:type="spellStart"/>
      <w:r w:rsidRPr="009428EB">
        <w:rPr>
          <w:rFonts w:asciiTheme="minorHAnsi" w:hAnsiTheme="minorHAnsi" w:cstheme="minorHAnsi"/>
        </w:rPr>
        <w:t>explainability</w:t>
      </w:r>
      <w:proofErr w:type="spellEnd"/>
      <w:r w:rsidRPr="009428EB">
        <w:rPr>
          <w:rFonts w:asciiTheme="minorHAnsi" w:hAnsiTheme="minorHAnsi" w:cstheme="minorHAnsi"/>
        </w:rPr>
        <w:t xml:space="preserve">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proofErr w:type="spellStart"/>
      <w:r w:rsidRPr="009428EB">
        <w:rPr>
          <w:rStyle w:val="Strong"/>
          <w:rFonts w:asciiTheme="minorHAnsi" w:hAnsiTheme="minorHAnsi" w:cstheme="minorHAnsi"/>
        </w:rPr>
        <w:t>Explainability</w:t>
      </w:r>
      <w:proofErr w:type="spellEnd"/>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lastRenderedPageBreak/>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r w:rsidR="00AD75B8" w:rsidRPr="009428EB">
        <w:rPr>
          <w:rFonts w:eastAsia="Times New Roman" w:cstheme="minorHAnsi"/>
          <w:sz w:val="24"/>
          <w:szCs w:val="24"/>
          <w:lang w:eastAsia="en-GB"/>
        </w:rPr>
        <w:t>individuals</w:t>
      </w:r>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7EA4E6EA" w14:textId="77777777" w:rsidR="009428EB" w:rsidRPr="009428EB" w:rsidRDefault="009428EB" w:rsidP="00106793">
      <w:pPr>
        <w:spacing w:before="100" w:beforeAutospacing="1" w:after="100" w:afterAutospacing="1" w:line="240" w:lineRule="auto"/>
        <w:rPr>
          <w:rFonts w:eastAsia="Times New Roman" w:cstheme="minorHAnsi"/>
          <w:sz w:val="24"/>
          <w:szCs w:val="24"/>
          <w:lang w:eastAsia="en-GB"/>
        </w:rPr>
      </w:pPr>
    </w:p>
    <w:sectPr w:rsidR="009428EB" w:rsidRPr="0094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4C2EAB"/>
    <w:rsid w:val="008E7936"/>
    <w:rsid w:val="009428EB"/>
    <w:rsid w:val="00AD75B8"/>
    <w:rsid w:val="00BC1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504</Words>
  <Characters>2829</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Myra</cp:lastModifiedBy>
  <cp:revision>4</cp:revision>
  <dcterms:created xsi:type="dcterms:W3CDTF">2025-07-14T18:05:00Z</dcterms:created>
  <dcterms:modified xsi:type="dcterms:W3CDTF">2025-07-16T09:38:00Z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3b9d497d-ea49-4171-8e49-6397b0eafdc1</vt:lpwstr>
  </property>
</Properties>
</file>