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Écrire pour être lu</w:t>
      </w:r>
    </w:p>
    <w:p>
      <w:pPr>
        <w:pStyle w:val="Subtitle"/>
      </w:pPr>
      <w:r>
        <w:t>Penser à un lecteur précis plutôt qu’à une foule.</w:t>
      </w:r>
    </w:p>
    <w:p>
      <w:r>
        <w:t>On écrit rarement pour tout le monde. Même les textes les plus largement diffusés ont d’abord été adressés à quelqu’un : un collègue, une étudiante, un ami éloigné. C’est cette adresse qui donne au texte son ton, sa précision, sa politesse.</w:t>
      </w:r>
    </w:p>
    <w:p>
      <w:r>
        <w:drawing>
          <wp:inline xmlns:a="http://schemas.openxmlformats.org/drawingml/2006/main" xmlns:pic="http://schemas.openxmlformats.org/drawingml/2006/picture">
            <wp:extent cx="5303520" cy="353441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-d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5344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Un lecteur, pas une foule</w:t>
      </w:r>
    </w:p>
    <w:p>
      <w:r>
        <w:t>Avant de commencer, il est utile de se poser une question simple : qui, exactement, aimerais-je convaincre, éclairer ou simplement accompagner ? La réponse règle mille détails — le vocabulaire, la longueur des phrases, l’ordre des arguments, ce que l’on peut taire parce que le lecteur le sait déjà.</w:t>
      </w:r>
    </w:p>
    <w:p>
      <w:pPr>
        <w:pStyle w:val="Heading1"/>
      </w:pPr>
      <w:r>
        <w:t>Relire comme un étranger</w:t>
      </w:r>
    </w:p>
    <w:p>
      <w:r>
        <w:t>Une fois le texte écrit, il faut l’oublier un peu. Le relire le lendemain, à voix haute si possible, en cherchant les endroits où l’on trébuche. Ce qui accroche à l’oral est presque toujours ce qui gênera à l’écrit.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