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becomes cultural evidence only after researchers specify its task and test unit, compare simpler alternatives, control leakage, quantify uncertainty, and define abstention. An interactive map can otherwise imply a stable relation when proximity is repeated, unstable, or opaque, answering a question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visible: Mandarin and English, cultural references, repeated hooks, non-standard spelling, line-final form, and ambiguous credit metadata coexist. No representation can safely collapse these signals into “style”. Topic and proper nouns can drive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so a source-label match may reflect subject matter, named worlds, repetition, or writing form rather than a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contributes three linked evaluations. Strict retrieval compares frozen BGE-M3, character 2–5-gram TF–IDF, and untuned fusion after query and duplicate removal. A Chinese-rap NER schema, two candidate baselines, an 800-occurrence review package, and a provisional typed network keep extraction accuracy withheld until review. A 17-class model predicts adjacent dictionary-estimated written endings, separates continuation from switching, tests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Retrieval asks what a held-out song resembles; NER asks which named cultural worlds are referenced; written-ending prediction asks how line-final form changes. The companion interface exposes these outputs but does not substitute for the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Ethnographic and lyric-centered studies show Chinese performers reworking global hip-hop through regional language, Putonghua, English, slang, local knowledge, and place (Barrett 2012; Wang 2013; Liu 2014). Work on Higher Brothers separates written multilingual material from the vocal intelligibility and production through which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situated corpus evidence, not an authenticity score or fixed identity inferred from text.</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supports multilingual, multi-function, multi-granularity retrieval and dense representation of variable-length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This makes it plausible for Chinese–English lyrics but does not validate it on Chinese rap: broad retrieval signals may help find related text without isolating artistic style.</w:t>
      </w:r>
    </w:p>
    <w:p>
      <w:pPr>
        <w:widowControl/>
        <w:spacing w:line="480" w:lineRule="auto" w:after="0"/>
        <w:ind w:firstLine="360"/>
      </w:pPr>
      <w:r>
        <w:rPr>
          <w:rFonts w:ascii="Times New Roman" w:hAnsi="Times New Roman" w:eastAsia="Times New Roman" w:cs="Times New Roman"/>
          <w:color w:val="000000"/>
          <w:sz w:val="24"/>
        </w:rPr>
        <w:t xml:space="preserve">Authorship research shows that common and proper nouns affect attribution and that prediction does not establish style–content disentanglement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We therefore test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not “rapper identification”, against a strong surface-form baseline and interpret fusion as complementarity rather than isolated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domain- and annotation-sensitive; edited-text models cannot be assumed to transfer to informal language (Peng and Dredze 2015). FLAT combines character and word information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distant-supervision work shows that dictionary matches are noisy, not gold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 corpora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Unequal NER error can distort cultural visibility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nodes, windows, and relations must follow the question, and co-occurrence differs from embedding similarity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Because language, place, stylization, and performance localize Chinese-rap repertoires (Liu 2014; Baioud 2024), we separate source-label/reference from same-song co-mention edges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work models phonetic, imperfect, internal, and artist-level rhyme (Hirjee and Brown 2009). DeepRapper represents rhyme with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text-only Chinese-rap target must remain narrower: multimodal persona, regional or Chinese–English realization, and audio flow exceed fixed pinyin classes (Lin and Wang 2024; Wang and Lin 2024;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we cannot observe performed pronunciation, stress, rhythm, cadence, beat, or delivery; the target is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PD-002 reconstructed the legacy cleaner: artist/text deduplication removed 2,894 chunks and 177 song IDs; 131 meet a conservative duplicate-record rule and 46 require review. The live Drive sheet matched 26,833 keys; all 33 substantive cell differences were adjudicated. Canonical gates explain 7,214/22,132 upstream versus 7,211/22,128 analyzed. Results remain snapshot-conditional.</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none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corpus provenance, not verified identity; the study does not attempt global person resolution. Retrieval predicts that label, NER identifies lyric-reference surfaces, and rhyme fingerprints summarize label-attached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keepNext w:val="0"/>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keepLines/>
        <w:spacing w:before="160" w:after="40"/>
        <w:jc w:val="center"/>
      </w:pPr>
      <w:r>
        <w:drawing>
          <wp:inline xmlns:a="http://schemas.openxmlformats.org/drawingml/2006/main" xmlns:pic="http://schemas.openxmlformats.org/drawingml/2006/picture">
            <wp:extent cx="5715000" cy="3824653"/>
            <wp:docPr id="1" name="Picture 1" descr="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 title="A top-to-bottom research pipeline begins with a frozen Chinese-rap lyric corpus "/>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3824653"/>
                    </a:xfrm>
                    <a:prstGeom prst="rect"/>
                  </pic:spPr>
                </pic:pic>
              </a:graphicData>
            </a:graphic>
          </wp:inline>
        </w:drawing>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keepNext w:val="0"/>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keepLines/>
        <w:spacing w:before="160" w:after="40"/>
        <w:jc w:val="center"/>
      </w:pPr>
      <w:r>
        <w:drawing>
          <wp:inline xmlns:a="http://schemas.openxmlformats.org/drawingml/2006/main" xmlns:pic="http://schemas.openxmlformats.org/drawingml/2006/picture">
            <wp:extent cx="5715000" cy="3121269"/>
            <wp:docPr id="2" name="Picture 2" descr="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121269"/>
                    </a:xfrm>
                    <a:prstGeom prst="rect"/>
                  </pic:spPr>
                </pic:pic>
              </a:graphicData>
            </a:graphic>
          </wp:inline>
        </w:drawing>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keepNext w:val="0"/>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keepLines/>
        <w:spacing w:before="160" w:after="40"/>
        <w:jc w:val="center"/>
      </w:pPr>
      <w:r>
        <w:drawing>
          <wp:inline xmlns:a="http://schemas.openxmlformats.org/drawingml/2006/main" xmlns:pic="http://schemas.openxmlformats.org/drawingml/2006/picture">
            <wp:extent cx="5715000" cy="4879731"/>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4879731"/>
                    </a:xfrm>
                    <a:prstGeom prst="rect"/>
                  </pic:spPr>
                </pic:pic>
              </a:graphicData>
            </a:graphic>
          </wp:inline>
        </w:drawing>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204 source labels after shared-text exclusion. Cleaned newlines define written lines; empty, header, non-Han, unclassifiable, or non-Han-terminal lines are excluded. The frozen task universe has 5,619 songs: 5,452 yield 283,806 strict-Han-ending lines and 5,347 yield 238,881 adjacent transitions. Its 52,152 repeat count is excess after first within label/song; surviving positions and original adjacency are retained. Reconnecting eligible pre-snapshot chunks holds labels fixed but expands songs to 5,621, line-bearing songs to 5,459, and transition-bearing songs to 5,353; it adds 7,033 lines and 4,938 transitions. Total variation is 0.001789 and the switch-rate change is 0.001390; prediction models were not retrained.</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keepNext w:val="0"/>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keepLines/>
        <w:spacing w:before="160" w:after="40"/>
        <w:jc w:val="center"/>
      </w:pPr>
      <w:r>
        <w:drawing>
          <wp:inline xmlns:a="http://schemas.openxmlformats.org/drawingml/2006/main" xmlns:pic="http://schemas.openxmlformats.org/drawingml/2006/picture">
            <wp:extent cx="5715000" cy="4440115"/>
            <wp:docPr id="4" name="Picture 4" descr="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440115"/>
                    </a:xfrm>
                    <a:prstGeom prst="rect"/>
                  </pic:spPr>
                </pic:pic>
              </a:graphicData>
            </a:graphic>
          </wp:inline>
        </w:drawing>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Repeats retain original adjacency only inside chunks surviving legacy deduplication; the non-repeat sensitivity supports the frozen result. The counterfactual supports aggregate family shares and switch rate, not unretrained prediction metrics.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formal PD-001 and PD-002 amendments, corpus-reconciliation results, validation manifests, annotation materials, model builders, and figure-source tables are maintained at https://github.com/Mo119m/chinese-rap-embeddings-to-evidence. The public package excludes lyric text, full lines, song/chunk identifiers, row-level lyric-content hashes, embeddings, membership rows, and reviewer contexts. The private corpus is not redistributed. File-level checksums and deterministic audits support reproduction by researchers with lawful access. [Archival DOI to be added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