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eastAsia="Times New Roman" w:cs="Times New Roman"/>
          <w:b/>
          <w:color w:val="000000"/>
          <w:sz w:val="34"/>
        </w:rPr>
        <w:t>Supplementary Methods</w:t>
      </w:r>
    </w:p>
    <w:p>
      <w:pPr>
        <w:pStyle w:val="Heading1"/>
      </w:pPr>
      <w:r>
        <w:t>S1. Exact Computational Environment and Model Provenance</w:t>
      </w:r>
    </w:p>
    <w:p>
      <w:pPr>
        <w:widowControl/>
        <w:spacing w:line="480" w:lineRule="auto" w:after="0"/>
      </w:pPr>
      <w:r>
        <w:rPr>
          <w:rFonts w:ascii="Times New Roman" w:hAnsi="Times New Roman" w:eastAsia="Times New Roman" w:cs="Times New Roman"/>
          <w:color w:val="000000"/>
          <w:sz w:val="24"/>
        </w:rPr>
        <w:t>Table S1 records the executable environment used or recovered for the frozen analyses. The vector and result artifacts are hash-addressed. The historical device and realized mixed-precision setting used for the original BGE-M3 encoding were not captured; current hardware is not treated as evidence of that earlier run.</w:t>
      </w:r>
    </w:p>
    <w:tbl>
      <w:tblPr>
        <w:tblW w:type="dxa" w:w="9360"/>
        <w:jc w:val="center"/>
        <w:tblLayout w:type="fixed"/>
        <w:tblLook w:firstColumn="1" w:firstRow="1" w:lastColumn="0" w:lastRow="0" w:noHBand="0" w:noVBand="1" w:val="04A0"/>
        <w:tblInd w:w="9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40"/>
        <w:gridCol w:w="2340"/>
        <w:gridCol w:w="2340"/>
        <w:gridCol w:w="2340"/>
      </w:tblGrid>
      <w:tr>
        <w:trPr>
          <w:cantSplit/>
          <w:tblHeader w:val="true"/>
        </w:trPr>
        <w:tc>
          <w:tcPr>
            <w:tcW w:type="dxa" w:w="2340"/>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Component</w:t>
            </w:r>
          </w:p>
        </w:tc>
        <w:tc>
          <w:tcPr>
            <w:tcW w:type="dxa" w:w="2340"/>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Exact record</w:t>
            </w:r>
          </w:p>
        </w:tc>
        <w:tc>
          <w:tcPr>
            <w:tcW w:type="dxa" w:w="2340"/>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Analysis-relevant settings</w:t>
            </w:r>
          </w:p>
        </w:tc>
        <w:tc>
          <w:tcPr>
            <w:tcW w:type="dxa" w:w="2340"/>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Evidence status</w:t>
            </w:r>
          </w:p>
        </w:tc>
      </w:tr>
      <w:tr>
        <w:trPr>
          <w:cantSplit/>
        </w:trPr>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Execution environment</w:t>
            </w:r>
          </w:p>
        </w:tc>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CPython 3.12.13; Windows 11 (</w:t>
            </w:r>
            <w:r>
              <w:rPr>
                <w:rFonts w:ascii="Courier New" w:hAnsi="Courier New" w:eastAsia="Courier New" w:cs="Courier New"/>
                <w:color w:val="000000"/>
                <w:sz w:val="17"/>
              </w:rPr>
              <w:t>10.0.26200</w:t>
            </w:r>
            <w:r>
              <w:rPr>
                <w:rFonts w:ascii="Times New Roman" w:hAnsi="Times New Roman" w:eastAsia="Times New Roman" w:cs="Times New Roman"/>
                <w:color w:val="000000"/>
                <w:sz w:val="18"/>
              </w:rPr>
              <w:t>)</w:t>
            </w:r>
          </w:p>
        </w:tc>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 xml:space="preserve">Task-specific deterministic seeds; Python executable SHA-256 </w:t>
            </w:r>
            <w:r>
              <w:rPr>
                <w:rFonts w:ascii="Courier New" w:hAnsi="Courier New" w:eastAsia="Courier New" w:cs="Courier New"/>
                <w:color w:val="000000"/>
                <w:sz w:val="17"/>
              </w:rPr>
              <w:t>e062889e…aea35</w:t>
            </w:r>
          </w:p>
        </w:tc>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Direct for BGE, named-entity recognition (NER), and rhyme; retrieval manifest lacks a contemporaneous runtime lock</w:t>
            </w:r>
          </w:p>
        </w:tc>
      </w:tr>
      <w:tr>
        <w:trPr>
          <w:cantSplit/>
        </w:trPr>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Semantic encoder</w:t>
            </w:r>
          </w:p>
        </w:tc>
        <w:tc>
          <w:tcPr>
            <w:tcW w:type="dxa" w:w="2340"/>
            <w:vAlign w:val="center"/>
            <w:tcMar>
              <w:top w:w="80" w:type="dxa"/>
              <w:start w:w="90" w:type="dxa"/>
              <w:bottom w:w="80" w:type="dxa"/>
              <w:end w:w="90" w:type="dxa"/>
            </w:tcMar>
          </w:tcPr>
          <w:p>
            <w:pPr>
              <w:keepLines/>
              <w:spacing w:line="240" w:lineRule="auto" w:after="0"/>
            </w:pPr>
            <w:r>
              <w:rPr>
                <w:rFonts w:ascii="Courier New" w:hAnsi="Courier New" w:eastAsia="Courier New" w:cs="Courier New"/>
                <w:color w:val="000000"/>
                <w:sz w:val="17"/>
              </w:rPr>
              <w:t>BAAI/bge-m3</w:t>
            </w:r>
            <w:r>
              <w:rPr>
                <w:rFonts w:ascii="Times New Roman" w:hAnsi="Times New Roman" w:eastAsia="Times New Roman" w:cs="Times New Roman"/>
                <w:color w:val="000000"/>
                <w:sz w:val="18"/>
              </w:rPr>
              <w:t xml:space="preserve"> revision </w:t>
            </w:r>
            <w:r>
              <w:rPr>
                <w:rFonts w:ascii="Courier New" w:hAnsi="Courier New" w:eastAsia="Courier New" w:cs="Courier New"/>
                <w:color w:val="000000"/>
                <w:sz w:val="17"/>
              </w:rPr>
              <w:t>5617a9f61b028005a4858fdac845db406aefb181</w:t>
            </w:r>
            <w:r>
              <w:rPr>
                <w:rFonts w:ascii="Times New Roman" w:hAnsi="Times New Roman" w:eastAsia="Times New Roman" w:cs="Times New Roman"/>
                <w:color w:val="000000"/>
                <w:sz w:val="18"/>
              </w:rPr>
              <w:t>; FlagEmbedding 1.4.0; PyTorch 2.11.0+cu128</w:t>
            </w:r>
          </w:p>
        </w:tc>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 xml:space="preserve">Dense head; 1,024 dimensions; </w:t>
            </w:r>
            <w:r>
              <w:rPr>
                <w:rFonts w:ascii="Courier New" w:hAnsi="Courier New" w:eastAsia="Courier New" w:cs="Courier New"/>
                <w:color w:val="000000"/>
                <w:sz w:val="17"/>
              </w:rPr>
              <w:t>max_length=2048</w:t>
            </w:r>
            <w:r>
              <w:rPr>
                <w:rFonts w:ascii="Times New Roman" w:hAnsi="Times New Roman" w:eastAsia="Times New Roman" w:cs="Times New Roman"/>
                <w:color w:val="000000"/>
                <w:sz w:val="18"/>
              </w:rPr>
              <w:t>; batch 2; L2 normalization</w:t>
            </w:r>
          </w:p>
        </w:tc>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 xml:space="preserve">Checkpoint/files and frozen vector hash verified; historical device and realized </w:t>
            </w:r>
            <w:r>
              <w:rPr>
                <w:rFonts w:ascii="Courier New" w:hAnsi="Courier New" w:eastAsia="Courier New" w:cs="Courier New"/>
                <w:color w:val="000000"/>
                <w:sz w:val="17"/>
              </w:rPr>
              <w:t>use_fp16</w:t>
            </w:r>
            <w:r>
              <w:rPr>
                <w:rFonts w:ascii="Times New Roman" w:hAnsi="Times New Roman" w:eastAsia="Times New Roman" w:cs="Times New Roman"/>
                <w:color w:val="000000"/>
                <w:sz w:val="18"/>
              </w:rPr>
              <w:t xml:space="preserve"> unavailable</w:t>
            </w:r>
          </w:p>
        </w:tc>
      </w:tr>
      <w:tr>
        <w:trPr>
          <w:cantSplit/>
        </w:trPr>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NER model</w:t>
            </w:r>
          </w:p>
        </w:tc>
        <w:tc>
          <w:tcPr>
            <w:tcW w:type="dxa" w:w="2340"/>
            <w:vAlign w:val="center"/>
            <w:tcMar>
              <w:top w:w="80" w:type="dxa"/>
              <w:start w:w="90" w:type="dxa"/>
              <w:bottom w:w="80" w:type="dxa"/>
              <w:end w:w="90" w:type="dxa"/>
            </w:tcMar>
          </w:tcPr>
          <w:p>
            <w:pPr>
              <w:keepLines/>
              <w:spacing w:line="240" w:lineRule="auto" w:after="0"/>
            </w:pPr>
            <w:r>
              <w:rPr>
                <w:rFonts w:ascii="Courier New" w:hAnsi="Courier New" w:eastAsia="Courier New" w:cs="Courier New"/>
                <w:color w:val="000000"/>
                <w:sz w:val="17"/>
              </w:rPr>
              <w:t>ckiplab/albert-tiny-chinese-ner</w:t>
            </w:r>
            <w:r>
              <w:rPr>
                <w:rFonts w:ascii="Times New Roman" w:hAnsi="Times New Roman" w:eastAsia="Times New Roman" w:cs="Times New Roman"/>
                <w:color w:val="000000"/>
                <w:sz w:val="18"/>
              </w:rPr>
              <w:t xml:space="preserve"> revision </w:t>
            </w:r>
            <w:r>
              <w:rPr>
                <w:rFonts w:ascii="Courier New" w:hAnsi="Courier New" w:eastAsia="Courier New" w:cs="Courier New"/>
                <w:color w:val="000000"/>
                <w:sz w:val="17"/>
              </w:rPr>
              <w:t>bcb519856ca93a666b1e48a9daef3f88c9b572a0</w:t>
            </w:r>
            <w:r>
              <w:rPr>
                <w:rFonts w:ascii="Times New Roman" w:hAnsi="Times New Roman" w:eastAsia="Times New Roman" w:cs="Times New Roman"/>
                <w:color w:val="000000"/>
                <w:sz w:val="18"/>
              </w:rPr>
              <w:t>; Transformers 5.14.1; PyTorch 2.11.0+cu128</w:t>
            </w:r>
          </w:p>
        </w:tc>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180-character windows; 40-character overlap; maximum 256 tokens; batch 96</w:t>
            </w:r>
          </w:p>
        </w:tc>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Runtime, checkpoint, weights, and vocabulary hashes verified</w:t>
            </w:r>
          </w:p>
        </w:tc>
      </w:tr>
      <w:tr>
        <w:trPr>
          <w:cantSplit/>
        </w:trPr>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Written-ending extraction/model</w:t>
            </w:r>
          </w:p>
        </w:tc>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pypinyin 0.55.0; scikit-learn 1.9.0</w:t>
            </w:r>
          </w:p>
        </w:tc>
        <w:tc>
          <w:tcPr>
            <w:tcW w:type="dxa" w:w="2340"/>
            <w:vAlign w:val="center"/>
            <w:tcMar>
              <w:top w:w="80" w:type="dxa"/>
              <w:start w:w="90" w:type="dxa"/>
              <w:bottom w:w="80" w:type="dxa"/>
              <w:end w:w="90" w:type="dxa"/>
            </w:tcMar>
          </w:tcPr>
          <w:p>
            <w:pPr>
              <w:keepLines/>
              <w:spacing w:line="240" w:lineRule="auto" w:after="0"/>
            </w:pPr>
            <w:r>
              <w:rPr>
                <w:rFonts w:ascii="Courier New" w:hAnsi="Courier New" w:eastAsia="Courier New" w:cs="Courier New"/>
                <w:color w:val="000000"/>
                <w:sz w:val="17"/>
              </w:rPr>
              <w:t>Style.FINALS_TONE3</w:t>
            </w:r>
            <w:r>
              <w:rPr>
                <w:rFonts w:ascii="Times New Roman" w:hAnsi="Times New Roman" w:eastAsia="Times New Roman" w:cs="Times New Roman"/>
                <w:color w:val="000000"/>
                <w:sz w:val="18"/>
              </w:rPr>
              <w:t xml:space="preserve">; </w:t>
            </w:r>
            <w:r>
              <w:rPr>
                <w:rFonts w:ascii="Courier New" w:hAnsi="Courier New" w:eastAsia="Courier New" w:cs="Courier New"/>
                <w:color w:val="000000"/>
                <w:sz w:val="17"/>
              </w:rPr>
              <w:t>strict=True</w:t>
            </w:r>
            <w:r>
              <w:rPr>
                <w:rFonts w:ascii="Times New Roman" w:hAnsi="Times New Roman" w:eastAsia="Times New Roman" w:cs="Times New Roman"/>
                <w:color w:val="000000"/>
                <w:sz w:val="18"/>
              </w:rPr>
              <w:t>; neutral tone 5; averaged log-loss SGD</w:t>
            </w:r>
          </w:p>
        </w:tc>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Direct package-version and module-hash evidence</w:t>
            </w:r>
          </w:p>
        </w:tc>
      </w:tr>
      <w:tr>
        <w:trPr>
          <w:cantSplit/>
        </w:trPr>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Numerical/data stack</w:t>
            </w:r>
          </w:p>
        </w:tc>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NumPy 2.4.6; pandas 3.0.5; SciPy 1.18.0; scikit-learn 1.9.0</w:t>
            </w:r>
          </w:p>
        </w:tc>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Sparse term frequency–inverse document frequency (TF–IDF), normalization, tests, tables</w:t>
            </w:r>
          </w:p>
        </w:tc>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Direct for NER/rhyme; forensic rather than manifest-bound for retrieval</w:t>
            </w:r>
          </w:p>
        </w:tc>
      </w:tr>
      <w:tr>
        <w:trPr>
          <w:cantSplit/>
        </w:trPr>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Transformer support stack</w:t>
            </w:r>
          </w:p>
        </w:tc>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Transformers 5.14.1; tokenizers 0.22.2; huggingface-hub 1.27.0</w:t>
            </w:r>
          </w:p>
        </w:tc>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Local/offline model loading</w:t>
            </w:r>
          </w:p>
        </w:tc>
        <w:tc>
          <w:tcPr>
            <w:tcW w:type="dxa" w:w="2340"/>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Transformers direct for NER; remaining BGE support versions recovered locally</w:t>
            </w:r>
          </w:p>
        </w:tc>
      </w:tr>
    </w:tbl>
    <w:p>
      <w:pPr>
        <w:spacing w:after="20" w:line="240" w:lineRule="auto"/>
      </w:pPr>
    </w:p>
    <w:p>
      <w:pPr>
        <w:widowControl/>
        <w:spacing w:line="480" w:lineRule="auto" w:after="0"/>
        <w:ind w:firstLine="360"/>
      </w:pPr>
      <w:r>
        <w:rPr>
          <w:rFonts w:ascii="Times New Roman" w:hAnsi="Times New Roman" w:eastAsia="Times New Roman" w:cs="Times New Roman"/>
          <w:color w:val="000000"/>
          <w:sz w:val="24"/>
        </w:rPr>
        <w:t xml:space="preserve">The BGE checkpoint configuration contains </w:t>
      </w:r>
      <w:r>
        <w:rPr>
          <w:rFonts w:ascii="Courier New" w:hAnsi="Courier New" w:eastAsia="Courier New" w:cs="Courier New"/>
          <w:color w:val="000000"/>
          <w:sz w:val="23"/>
        </w:rPr>
        <w:t>transformers_version=4.33.0</w:t>
      </w:r>
      <w:r>
        <w:rPr>
          <w:rFonts w:ascii="Times New Roman" w:hAnsi="Times New Roman" w:eastAsia="Times New Roman" w:cs="Times New Roman"/>
          <w:color w:val="000000"/>
          <w:sz w:val="24"/>
        </w:rPr>
        <w:t xml:space="preserve">; that is upstream serialization metadata and is not reported as this project's runtime. The canonical environment-map fingerprint is SHA-256 </w:t>
      </w:r>
      <w:r>
        <w:rPr>
          <w:rFonts w:ascii="Courier New" w:hAnsi="Courier New" w:eastAsia="Courier New" w:cs="Courier New"/>
          <w:color w:val="000000"/>
          <w:sz w:val="23"/>
        </w:rPr>
        <w:t>b290363fa776f50219cd16ee124fd88b7253d77658bdb9f0d2cef42ee2453152</w:t>
      </w:r>
      <w:r>
        <w:rPr>
          <w:rFonts w:ascii="Times New Roman" w:hAnsi="Times New Roman" w:eastAsia="Times New Roman" w:cs="Times New Roman"/>
          <w:color w:val="000000"/>
          <w:sz w:val="24"/>
        </w:rPr>
        <w:t xml:space="preserve">. Full file hashes and official artifact URLs appear in </w:t>
      </w:r>
      <w:r>
        <w:rPr>
          <w:rFonts w:ascii="Courier New" w:hAnsi="Courier New" w:eastAsia="Courier New" w:cs="Courier New"/>
          <w:color w:val="000000"/>
          <w:sz w:val="23"/>
        </w:rPr>
        <w:t>software_citation_recommendations.md</w:t>
      </w:r>
      <w:r>
        <w:rPr>
          <w:rFonts w:ascii="Times New Roman" w:hAnsi="Times New Roman" w:eastAsia="Times New Roman" w:cs="Times New Roman"/>
          <w:color w:val="000000"/>
          <w:sz w:val="24"/>
        </w:rPr>
        <w:t xml:space="preserve"> in the release audit directory.</w:t>
      </w:r>
    </w:p>
    <w:p>
      <w:pPr>
        <w:pStyle w:val="Heading1"/>
      </w:pPr>
      <w:r>
        <w:t>S2. PD-001 Retrieval Protocol Amendment</w:t>
      </w:r>
    </w:p>
    <w:p>
      <w:pPr>
        <w:widowControl/>
        <w:spacing w:line="480" w:lineRule="auto" w:after="0"/>
      </w:pPr>
      <w:r>
        <w:rPr>
          <w:rFonts w:ascii="Times New Roman" w:hAnsi="Times New Roman" w:eastAsia="Times New Roman" w:cs="Times New Roman"/>
          <w:color w:val="000000"/>
          <w:sz w:val="24"/>
        </w:rPr>
        <w:t xml:space="preserve">The original frozen research contract required vectorizers to be fitted on training data only. The released character TF–IDF builder instead calls </w:t>
      </w:r>
      <w:r>
        <w:rPr>
          <w:rFonts w:ascii="Courier New" w:hAnsi="Courier New" w:eastAsia="Courier New" w:cs="Courier New"/>
          <w:color w:val="000000"/>
          <w:sz w:val="23"/>
        </w:rPr>
        <w:t>fit_transform</w:t>
      </w:r>
      <w:r>
        <w:rPr>
          <w:rFonts w:ascii="Times New Roman" w:hAnsi="Times New Roman" w:eastAsia="Times New Roman" w:cs="Times New Roman"/>
          <w:color w:val="000000"/>
          <w:sz w:val="24"/>
        </w:rPr>
        <w:t xml:space="preserve"> once on all document text in the fixed retrieval corpus before constructing group-held-out label profiles. Thus each query affects the unlabeled character vocabulary and inverse-document-frequency distribution, although its source label, relevance status, rank, and evaluation outcome are not supplied to the vectorizer. The equal fusion weight is also not outcome-tuned.</w:t>
      </w:r>
    </w:p>
    <w:p>
      <w:pPr>
        <w:widowControl/>
        <w:spacing w:line="480" w:lineRule="auto" w:after="0"/>
        <w:ind w:firstLine="360"/>
      </w:pPr>
      <w:r>
        <w:rPr>
          <w:rFonts w:ascii="Times New Roman" w:hAnsi="Times New Roman" w:eastAsia="Times New Roman" w:cs="Times New Roman"/>
          <w:color w:val="000000"/>
          <w:sz w:val="24"/>
        </w:rPr>
        <w:t>The reported retrieval estimand is therefore:</w:t>
      </w:r>
    </w:p>
    <w:p>
      <w:pPr>
        <w:spacing w:line="360" w:lineRule="auto"/>
        <w:ind w:left="504" w:right="504"/>
      </w:pPr>
      <w:r>
        <w:rPr>
          <w:rFonts w:ascii="Times New Roman" w:hAnsi="Times New Roman" w:eastAsia="Times New Roman" w:cs="Times New Roman"/>
          <w:color w:val="000000"/>
          <w:sz w:val="22"/>
        </w:rPr>
        <w:t>Within the frozen corpus, when a song's source-credit membership and its contribution to candidate profiles are held out, how highly does the remaining source-label repertoire rank?</w:t>
      </w:r>
    </w:p>
    <w:p>
      <w:pPr>
        <w:widowControl/>
        <w:spacing w:line="480" w:lineRule="auto" w:after="0"/>
        <w:ind w:firstLine="360"/>
      </w:pPr>
      <w:r>
        <w:rPr>
          <w:rFonts w:ascii="Times New Roman" w:hAnsi="Times New Roman" w:eastAsia="Times New Roman" w:cs="Times New Roman"/>
          <w:color w:val="000000"/>
          <w:sz w:val="24"/>
        </w:rPr>
        <w:t xml:space="preserve">It is not a prospective estimate for later songs or another corpus. The original contract remains unchanged; </w:t>
      </w:r>
      <w:r>
        <w:rPr>
          <w:rFonts w:ascii="Courier New" w:hAnsi="Courier New" w:eastAsia="Courier New" w:cs="Courier New"/>
          <w:color w:val="000000"/>
          <w:sz w:val="23"/>
        </w:rPr>
        <w:t>PROTOCOL_AMENDMENT_PD001_TRANSDUCTIVE_TFIDF.md</w:t>
      </w:r>
      <w:r>
        <w:rPr>
          <w:rFonts w:ascii="Times New Roman" w:hAnsi="Times New Roman" w:eastAsia="Times New Roman" w:cs="Times New Roman"/>
          <w:color w:val="000000"/>
          <w:sz w:val="24"/>
        </w:rPr>
        <w:t xml:space="preserve"> records the audit chronology and affected artifacts. The primary fixed-corpus estimates remain those of the frozen implementation.</w:t>
      </w:r>
    </w:p>
    <w:p>
      <w:pPr>
        <w:widowControl/>
        <w:spacing w:line="480" w:lineRule="auto" w:after="0"/>
        <w:ind w:firstLine="360"/>
      </w:pPr>
      <w:r>
        <w:rPr>
          <w:rFonts w:ascii="Times New Roman" w:hAnsi="Times New Roman" w:eastAsia="Times New Roman" w:cs="Times New Roman"/>
          <w:color w:val="000000"/>
          <w:sz w:val="24"/>
        </w:rPr>
        <w:t>A grouped sixfold sensitivity tests whether transductive vocabulary and IDF exposure explains the fusion result. Each of 5,430 global exact/near-duplicate components is assigned wholly to one fold; the 5,455 queries are distributed as 910 in one fold and 909 in each of five folds. Every test fold contains all 204 source-credit labels, and each corresponding training partition retains at least five components per label. Inductive TF–IDF is fitted only on the five training folds and then transforms their held-out fold. A matched transductive system fits vocabulary and IDF on all 5,455 unlabeled texts but uses the same fold-specific training profiles, test queries, duplicate weights, candidate labels, fusion rule, and rankings. Because cross-fitted profiles contain five-sixths of the components, their absolute scores are a sensitivity result rather than a direct replacement for leave-one-component-out Table 2.</w:t>
      </w:r>
    </w:p>
    <w:p>
      <w:pPr>
        <w:widowControl/>
        <w:spacing w:line="480" w:lineRule="auto" w:after="0"/>
        <w:ind w:firstLine="360"/>
      </w:pPr>
      <w:r>
        <w:rPr>
          <w:rFonts w:ascii="Times New Roman" w:hAnsi="Times New Roman" w:eastAsia="Times New Roman" w:cs="Times New Roman"/>
          <w:color w:val="000000"/>
          <w:sz w:val="24"/>
        </w:rPr>
        <w:t>Inductive fusion yields macro MRR 0.439712 versus 0.404763 for inductive TF–IDF, a paired difference of +0.034949 (95% CI 0.024373–0.046082). Matched transductive exposure increases TF–IDF MRR by +0.003963 (0.001020–0.006942) and fusion MRR by +0.003681 (0.001413–0.006416). Intervals use the same 5,000-replicate paired two-stage label/component bootstrap principle as the primary analysis. Thus evaluation-corpus exposure is mildly optimistic within this corpus, but its magnitude cannot explain the training-only fusion advantage. This sensitivity does not estimate prospective or external-population performance.</w:t>
      </w:r>
    </w:p>
    <w:p>
      <w:pPr>
        <w:pStyle w:val="Heading1"/>
      </w:pPr>
      <w:r>
        <w:t>S3. PD-002 Corpus Reconciliation and Upstream Chunk Deduplication</w:t>
      </w:r>
    </w:p>
    <w:p>
      <w:pPr>
        <w:widowControl/>
        <w:spacing w:line="480" w:lineRule="auto" w:after="0"/>
      </w:pPr>
      <w:r>
        <w:rPr>
          <w:rFonts w:ascii="Times New Roman" w:hAnsi="Times New Roman" w:eastAsia="Times New Roman" w:cs="Times New Roman"/>
          <w:color w:val="000000"/>
          <w:sz w:val="24"/>
        </w:rPr>
        <w:t xml:space="preserve">PD-002 was recorded after the frozen analyses when the legacy cleaner was found to delete repeated </w:t>
      </w:r>
      <w:r>
        <w:rPr>
          <w:rFonts w:ascii="Courier New" w:hAnsi="Courier New" w:eastAsia="Courier New" w:cs="Courier New"/>
          <w:color w:val="000000"/>
          <w:sz w:val="23"/>
        </w:rPr>
        <w:t>(source-credit label, exact cleaned chunk text)</w:t>
      </w:r>
      <w:r>
        <w:rPr>
          <w:rFonts w:ascii="Times New Roman" w:hAnsi="Times New Roman" w:eastAsia="Times New Roman" w:cs="Times New Roman"/>
          <w:color w:val="000000"/>
          <w:sz w:val="24"/>
        </w:rPr>
        <w:t xml:space="preserve"> rows before downstream duplicate controls. The reconciliation exactly reproduces the four historical stages: 26,833 chunks/7,721 song IDs in the raw export; 25,279/7,420 after title exclusions; 25,026/7,391 after line cleaning and empty removal; and 22,132/7,214 after keep-first chunk deduplication. The final stage removes 2,894 chunks and erases 177 song records. Of those records, 131 meet the conservative high-confidence rule of matching source-credit label, normalized title, and complete cleaned chunk sequence; the remaining 46 require review rather than automatic deletion.</w:t>
      </w:r>
    </w:p>
    <w:p>
      <w:pPr>
        <w:widowControl/>
        <w:spacing w:line="480" w:lineRule="auto" w:after="0"/>
        <w:ind w:firstLine="360"/>
      </w:pPr>
      <w:r>
        <w:rPr>
          <w:rFonts w:ascii="Times New Roman" w:hAnsi="Times New Roman" w:eastAsia="Times New Roman" w:cs="Times New Roman"/>
          <w:color w:val="000000"/>
          <w:sz w:val="24"/>
        </w:rPr>
        <w:t>The live native Google Sheet and local raw export align on all 26,833 song/chunk keys. All 33/33 substantive cell differences were adjudicated (29 title type coercions, two leading-apostrophe semantics, and two control-character import side effects), with none unresolved; this is a row-aligned provenance check, not a claim of remote/local byte identity. In the released shared-text-exclusion rhyme frame, the 204 labels remain fixed while restoring eligible pre-snapshot chunks expands songs from 5,619 to 5,621, line-bearing songs from 5,452 to 5,459, and transition-bearing songs from 5,347 to 5,353. Without retraining, this adds 7,033 strict-Han-ending lines, 4,938 adjacent transitions, and 6,472 repeat occurrences beyond first occurrences. Aggregate ending-family shares remain stable (total-variation distance 0.001789; switch-rate difference 0.001390), but the duplicate-aware population has not been used to retrain or reevaluate the predictive models. No stability claim is therefore made for top-</w:t>
      </w:r>
      <w:r>
        <w:rPr>
          <w:rFonts w:ascii="Times New Roman" w:hAnsi="Times New Roman" w:eastAsia="Times New Roman" w:cs="Times New Roman"/>
          <w:i/>
          <w:color w:val="000000"/>
          <w:sz w:val="24"/>
        </w:rPr>
        <w:t>k</w:t>
      </w:r>
      <w:r>
        <w:rPr>
          <w:rFonts w:ascii="Times New Roman" w:hAnsi="Times New Roman" w:eastAsia="Times New Roman" w:cs="Times New Roman"/>
          <w:color w:val="000000"/>
          <w:sz w:val="24"/>
        </w:rPr>
        <w:t xml:space="preserve"> accuracy, mean reciprocal rank, calibration, abstention, or paired model differences.</w:t>
      </w:r>
    </w:p>
    <w:p>
      <w:pPr>
        <w:pStyle w:val="Heading1"/>
      </w:pPr>
      <w:r>
        <w:t>S4. Repertoire-Graph Null and Projection Diagnostics</w:t>
      </w:r>
    </w:p>
    <w:p>
      <w:pPr>
        <w:widowControl/>
        <w:spacing w:line="480" w:lineRule="auto" w:after="0"/>
      </w:pPr>
      <w:r>
        <w:rPr>
          <w:rFonts w:ascii="Times New Roman" w:hAnsi="Times New Roman" w:eastAsia="Times New Roman" w:cs="Times New Roman"/>
          <w:color w:val="000000"/>
          <w:sz w:val="24"/>
        </w:rPr>
        <w:t xml:space="preserve">The published graph is the intersection of a 140-edge reciprocal-top-five network under primary duplicate control and a 145-edge network after cross-label shared-text exclusion. The observed intersection contains 86 edges. The primary null holds the first network fixed and applies 1,450 successful undirected double-edge swaps to the second network per replicate, preserving its complete node-degree sequence while randomizing endpoints. Across 10,000 fixed-seed replicates, the null intersection has mean 4.524, median 4, 95% range 1–9, and maximum 13; no replicate reaches 86, giving an add-one Monte Carlo </w:t>
      </w:r>
      <w:r>
        <w:rPr>
          <w:rFonts w:ascii="Times New Roman" w:hAnsi="Times New Roman" w:eastAsia="Times New Roman" w:cs="Times New Roman"/>
          <w:i/>
          <w:color w:val="000000"/>
          <w:sz w:val="24"/>
        </w:rPr>
        <w:t>p</w:t>
      </w:r>
      <w:r>
        <w:rPr>
          <w:rFonts w:ascii="Times New Roman" w:hAnsi="Times New Roman" w:eastAsia="Times New Roman" w:cs="Times New Roman"/>
          <w:color w:val="000000"/>
          <w:sz w:val="24"/>
        </w:rPr>
        <w:t xml:space="preserve"> of 0.00010. An auxiliary 100,000-replicate source-label permutation gives mean 0.979 and </w:t>
      </w:r>
      <w:r>
        <w:rPr>
          <w:rFonts w:ascii="Times New Roman" w:hAnsi="Times New Roman" w:eastAsia="Times New Roman" w:cs="Times New Roman"/>
          <w:i/>
          <w:color w:val="000000"/>
          <w:sz w:val="24"/>
        </w:rPr>
        <w:t>p</w:t>
      </w:r>
      <w:r>
        <w:rPr>
          <w:rFonts w:ascii="Times New Roman" w:hAnsi="Times New Roman" w:eastAsia="Times New Roman" w:cs="Times New Roman"/>
          <w:color w:val="000000"/>
          <w:sz w:val="24"/>
        </w:rPr>
        <w:t xml:space="preserve"> = 0.000010. These tests concern cross-treatment adjacency alignment, not edgewise significance, social relations, influence, or external cultural structure.</w:t>
      </w:r>
    </w:p>
    <w:p>
      <w:pPr>
        <w:widowControl/>
        <w:spacing w:line="480" w:lineRule="auto" w:after="0"/>
        <w:ind w:firstLine="360"/>
      </w:pPr>
      <w:r>
        <w:rPr>
          <w:rFonts w:ascii="Times New Roman" w:hAnsi="Times New Roman" w:eastAsia="Times New Roman" w:cs="Times New Roman"/>
          <w:color w:val="000000"/>
          <w:sz w:val="24"/>
        </w:rPr>
        <w:t xml:space="preserve">The deterministic two-dimensional display combines the normalized primary and sensitivity centroids, recentres them, and applies singular-value-decomposition PCA. Its first two components explain 26.20% of variation. Using cosine distance in the original 1,024-dimensional consensus space and Euclidean distance in the display, trustworthiness is 0.785, 0.795, and 0.804 at </w:t>
      </w:r>
      <w:r>
        <w:rPr>
          <w:rFonts w:ascii="Times New Roman" w:hAnsi="Times New Roman" w:eastAsia="Times New Roman" w:cs="Times New Roman"/>
          <w:i/>
          <w:color w:val="000000"/>
          <w:sz w:val="24"/>
        </w:rPr>
        <w:t>k</w:t>
      </w:r>
      <w:r>
        <w:rPr>
          <w:rFonts w:ascii="Times New Roman" w:hAnsi="Times New Roman" w:eastAsia="Times New Roman" w:cs="Times New Roman"/>
          <w:color w:val="000000"/>
          <w:sz w:val="24"/>
        </w:rPr>
        <w:t xml:space="preserve"> = 5, 10, and 15. Exact-neighbour retention is 0.173, 0.268, and 0.347, compared with random expectations of 0.025, 0.049, and 0.074. Pairwise distance-rank correlation is 0.680. Only 18 of 86 released edges are mutual top-five neighbours in two dimensions. Accordingly, the PCA is a navigation overview; released graph lines, not screen distance, carry the relation claim.</w:t>
      </w:r>
    </w:p>
    <w:p>
      <w:pPr>
        <w:pStyle w:val="Heading1"/>
      </w:pPr>
      <w:r>
        <w:t>S5. External Written-Ending Implementation Check</w:t>
      </w:r>
    </w:p>
    <w:p>
      <w:pPr>
        <w:widowControl/>
        <w:spacing w:line="480" w:lineRule="auto" w:after="0"/>
      </w:pPr>
      <w:r>
        <w:rPr>
          <w:rFonts w:ascii="Times New Roman" w:hAnsi="Times New Roman" w:eastAsia="Times New Roman" w:cs="Times New Roman"/>
          <w:color w:val="000000"/>
          <w:sz w:val="24"/>
        </w:rPr>
        <w:t xml:space="preserve">The external MuChin resource (Wang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2024; DOI </w:t>
      </w:r>
      <w:r>
        <w:rPr>
          <w:rFonts w:ascii="Courier New" w:hAnsi="Courier New" w:eastAsia="Courier New" w:cs="Courier New"/>
          <w:color w:val="000000"/>
          <w:sz w:val="23"/>
        </w:rPr>
        <w:t>10.24963/ijcai.2024/860</w:t>
      </w:r>
      <w:r>
        <w:rPr>
          <w:rFonts w:ascii="Times New Roman" w:hAnsi="Times New Roman" w:eastAsia="Times New Roman" w:cs="Times New Roman"/>
          <w:color w:val="000000"/>
          <w:sz w:val="24"/>
        </w:rPr>
        <w:t xml:space="preserve">) was used only as an implementation sensitivity check. Across 1,000 publisher-recommended folders, 44,980 written lines align exactly by line and section. Treating exported </w:t>
      </w:r>
      <w:r>
        <w:rPr>
          <w:rFonts w:ascii="Courier New" w:hAnsi="Courier New" w:eastAsia="Courier New" w:cs="Courier New"/>
          <w:color w:val="000000"/>
          <w:sz w:val="23"/>
        </w:rPr>
        <w:t>R</w:t>
      </w:r>
      <w:r>
        <w:rPr>
          <w:rFonts w:ascii="Times New Roman" w:hAnsi="Times New Roman" w:eastAsia="Times New Roman" w:cs="Times New Roman"/>
          <w:color w:val="000000"/>
          <w:sz w:val="24"/>
        </w:rPr>
        <w:t xml:space="preserve"> markers as same-family-within-section indicators gives an F1 score (the harmonic mean of precision and recall) of 0.931 and a Matthews correlation of 0.541 for the project's deterministic same-family detection.</w:t>
      </w:r>
    </w:p>
    <w:p>
      <w:pPr>
        <w:widowControl/>
        <w:spacing w:line="480" w:lineRule="auto" w:after="0"/>
        <w:ind w:firstLine="360"/>
      </w:pPr>
      <w:r>
        <w:rPr>
          <w:rFonts w:ascii="Times New Roman" w:hAnsi="Times New Roman" w:eastAsia="Times New Roman" w:cs="Times New Roman"/>
          <w:color w:val="000000"/>
          <w:sz w:val="24"/>
        </w:rPr>
        <w:t xml:space="preserve">This is not independent gold. The MuChin interface automatically groups and colour-highlights pinyin rhyme families, annotators principally review polyphonic readings, and the exported </w:t>
      </w:r>
      <w:r>
        <w:rPr>
          <w:rFonts w:ascii="Courier New" w:hAnsi="Courier New" w:eastAsia="Courier New" w:cs="Courier New"/>
          <w:color w:val="000000"/>
          <w:sz w:val="23"/>
        </w:rPr>
        <w:t>R</w:t>
      </w:r>
      <w:r>
        <w:rPr>
          <w:rFonts w:ascii="Times New Roman" w:hAnsi="Times New Roman" w:eastAsia="Times New Roman" w:cs="Times New Roman"/>
          <w:color w:val="000000"/>
          <w:sz w:val="24"/>
        </w:rPr>
        <w:t xml:space="preserve"> field collapses family identity. The check is therefore partially circular, excluded from model selection, and does not validate Chinese-rap rhyme, pronunciation, tone, cadence, beat alignment, or flow.</w:t>
      </w:r>
    </w:p>
    <w:p>
      <w:pPr>
        <w:pStyle w:val="Heading1"/>
      </w:pPr>
      <w:r>
        <w:t>S6. NER Annotation Path to Human Gold</w:t>
      </w:r>
    </w:p>
    <w:p>
      <w:pPr>
        <w:widowControl/>
        <w:spacing w:line="480" w:lineRule="auto" w:after="0"/>
      </w:pPr>
      <w:r>
        <w:rPr>
          <w:rFonts w:ascii="Times New Roman" w:hAnsi="Times New Roman" w:eastAsia="Times New Roman" w:cs="Times New Roman"/>
          <w:color w:val="000000"/>
          <w:sz w:val="24"/>
        </w:rPr>
        <w:t>The corpuswide private review package contains 800 distinct occurrences sampled by proposed type and agreement state: exact agreement, overlap agreement, type/boundary conflict, lexicon only, and transformer only. A separate claim-directed package contains every unique occurrence contributing to the ten currently released claims: 102 label/reference occurrence rows and 60 co-mention occurrence rows, with five rows overlapping, for 157 unique occurrences in total. Coverage is therefore 157/157 (100%) within the released-claim frame. Reviewer occurrence sheets add 20 real comparators and 16 synthetic boundary-attention controls; pair sheets add eight real non-released comparators to the 23 released co-mention support tasks.</w:t>
      </w:r>
    </w:p>
    <w:p>
      <w:pPr>
        <w:widowControl/>
        <w:spacing w:line="480" w:lineRule="auto" w:after="0"/>
        <w:ind w:firstLine="360"/>
      </w:pPr>
      <w:r>
        <w:rPr>
          <w:rFonts w:ascii="Times New Roman" w:hAnsi="Times New Roman" w:eastAsia="Times New Roman" w:cs="Times New Roman"/>
          <w:color w:val="000000"/>
          <w:sz w:val="24"/>
        </w:rPr>
        <w:t>For both packages, two reviewers work independently; in the claim-directed package, they are blind to claim/control status. Uncertainty, corrections, conflicting link decisions, and all disagreements require adjudication. At release, both reviewers and the adjudication sheets contain zero completed decisions. The claim-directed audit can ultimately confirm or reject the evidence underlying the released edges, but it is claim-conditioned and has no corpuswide negative frame; it cannot estimate corpuswide precision, recall, or F1. The 800-item package remains the route to those metrics and a song-level train/development/test split. Inter-annotator agreement, claim-confirmation rates, and all accuracy metrics remain withheld.</w:t>
      </w:r>
    </w:p>
    <w:p>
      <w:pPr>
        <w:widowControl/>
        <w:spacing w:line="480" w:lineRule="auto" w:after="0"/>
        <w:ind w:firstLine="360"/>
      </w:pPr>
      <w:r>
        <w:rPr>
          <w:rFonts w:ascii="Times New Roman" w:hAnsi="Times New Roman" w:eastAsia="Times New Roman" w:cs="Times New Roman"/>
          <w:color w:val="000000"/>
          <w:sz w:val="24"/>
        </w:rPr>
        <w:t>Two earlier, separate sets of 300 context forms and 300 occurrence tasks also contain no completed decisions and are superseded. No unreviewed package supports network centrality or demographic comparisons. The present 22-surface inventory and its six label-to-place and four co-mention edges are reproducibility-screened provisional evidence only.</w:t>
      </w:r>
    </w:p>
    <w:p>
      <w:pPr>
        <w:pStyle w:val="Heading1"/>
      </w:pPr>
      <w:r>
        <w:t>S7. Public/Private Release Boundary</w:t>
      </w:r>
    </w:p>
    <w:p>
      <w:pPr>
        <w:widowControl/>
        <w:spacing w:line="480" w:lineRule="auto" w:after="0"/>
      </w:pPr>
      <w:r>
        <w:rPr>
          <w:rFonts w:ascii="Times New Roman" w:hAnsi="Times New Roman" w:eastAsia="Times New Roman" w:cs="Times New Roman"/>
          <w:color w:val="000000"/>
          <w:sz w:val="24"/>
        </w:rPr>
        <w:t>The public supplement contains aggregate metrics, uncertainty intervals, typed entity surfaces, support summaries, written-ending classes, figure-source tables, code, contracts, and validation manifests. It excludes lyric text, full written lines, song/chunk identifiers, private membership rows, row-level lyric hashes, embeddings, and reviewer contexts. Short Chinese surfaces are included only when needed to interpret an aggregate entity or written-ending result.</w:t>
      </w:r>
    </w:p>
    <w:p>
      <w:pPr>
        <w:widowControl/>
        <w:spacing w:line="480" w:lineRule="auto" w:after="0"/>
        <w:ind w:firstLine="360"/>
      </w:pPr>
      <w:r>
        <w:rPr>
          <w:rFonts w:ascii="Times New Roman" w:hAnsi="Times New Roman" w:eastAsia="Times New Roman" w:cs="Times New Roman"/>
          <w:color w:val="000000"/>
          <w:sz w:val="24"/>
        </w:rPr>
        <w:t xml:space="preserve">The private frozen snapshot is required to rebuild row-level artifacts. Its original platforms, acquisition route and dates, temporal coverage, sampling frame, transcription origin, rights basis, and ethics determination are not established in the supplied export. </w:t>
      </w:r>
      <w:r>
        <w:rPr>
          <w:rFonts w:ascii="Courier New" w:hAnsi="Courier New" w:eastAsia="Courier New" w:cs="Courier New"/>
          <w:color w:val="000000"/>
          <w:sz w:val="23"/>
        </w:rPr>
        <w:t>DATA_PROVENANCE_AND_AUTHOR_ACTIONS.md</w:t>
      </w:r>
      <w:r>
        <w:rPr>
          <w:rFonts w:ascii="Times New Roman" w:hAnsi="Times New Roman" w:eastAsia="Times New Roman" w:cs="Times New Roman"/>
          <w:color w:val="000000"/>
          <w:sz w:val="24"/>
        </w:rPr>
        <w:t xml:space="preserve"> separates verified local facts from the owner-supplied information required before journal submission.</w:t>
      </w:r>
    </w:p>
    <w:p>
      <w:pPr>
        <w:pStyle w:val="Heading1"/>
      </w:pPr>
      <w:r>
        <w:t>Software and Model Records</w:t>
      </w:r>
    </w:p>
    <w:p>
      <w:pPr>
        <w:pStyle w:val="ListBullet"/>
        <w:spacing w:line="480" w:lineRule="auto" w:after="0"/>
      </w:pPr>
      <w:r>
        <w:rPr>
          <w:rFonts w:ascii="Times New Roman" w:hAnsi="Times New Roman" w:eastAsia="Times New Roman" w:cs="Times New Roman"/>
          <w:color w:val="000000"/>
          <w:sz w:val="24"/>
        </w:rPr>
        <w:t xml:space="preserve">Beijing Academy of Artificial Intelligence (2024) </w:t>
      </w:r>
      <w:r>
        <w:rPr>
          <w:rFonts w:ascii="Times New Roman" w:hAnsi="Times New Roman" w:eastAsia="Times New Roman" w:cs="Times New Roman"/>
          <w:i/>
          <w:color w:val="000000"/>
          <w:sz w:val="24"/>
        </w:rPr>
        <w:t>BAAI/bge-m3</w:t>
      </w:r>
      <w:r>
        <w:rPr>
          <w:rFonts w:ascii="Times New Roman" w:hAnsi="Times New Roman" w:eastAsia="Times New Roman" w:cs="Times New Roman"/>
          <w:color w:val="000000"/>
          <w:sz w:val="24"/>
        </w:rPr>
        <w:t xml:space="preserve">, revision </w:t>
      </w:r>
      <w:r>
        <w:rPr>
          <w:rFonts w:ascii="Courier New" w:hAnsi="Courier New" w:eastAsia="Courier New" w:cs="Courier New"/>
          <w:color w:val="000000"/>
          <w:sz w:val="23"/>
        </w:rPr>
        <w:t>5617a9f61b028005a4858fdac845db406aefb181</w:t>
      </w:r>
      <w:r>
        <w:rPr>
          <w:rFonts w:ascii="Times New Roman" w:hAnsi="Times New Roman" w:eastAsia="Times New Roman" w:cs="Times New Roman"/>
          <w:color w:val="000000"/>
          <w:sz w:val="24"/>
        </w:rPr>
        <w:t xml:space="preserve"> [pretrained language model]. https://huggingface.co/BAAI/bge-m3/tree/5617a9f61b028005a4858fdac845db406aefb181</w:t>
      </w:r>
    </w:p>
    <w:p>
      <w:pPr>
        <w:pStyle w:val="ListBullet"/>
        <w:spacing w:line="480" w:lineRule="auto" w:after="0"/>
      </w:pPr>
      <w:r>
        <w:rPr>
          <w:rFonts w:ascii="Times New Roman" w:hAnsi="Times New Roman" w:eastAsia="Times New Roman" w:cs="Times New Roman"/>
          <w:color w:val="000000"/>
          <w:sz w:val="24"/>
        </w:rPr>
        <w:t xml:space="preserve">CKIP Lab (2022) </w:t>
      </w:r>
      <w:r>
        <w:rPr>
          <w:rFonts w:ascii="Times New Roman" w:hAnsi="Times New Roman" w:eastAsia="Times New Roman" w:cs="Times New Roman"/>
          <w:i/>
          <w:color w:val="000000"/>
          <w:sz w:val="24"/>
        </w:rPr>
        <w:t>ckiplab/albert-tiny-chinese-ner</w:t>
      </w:r>
      <w:r>
        <w:rPr>
          <w:rFonts w:ascii="Times New Roman" w:hAnsi="Times New Roman" w:eastAsia="Times New Roman" w:cs="Times New Roman"/>
          <w:color w:val="000000"/>
          <w:sz w:val="24"/>
        </w:rPr>
        <w:t xml:space="preserve">, revision </w:t>
      </w:r>
      <w:r>
        <w:rPr>
          <w:rFonts w:ascii="Courier New" w:hAnsi="Courier New" w:eastAsia="Courier New" w:cs="Courier New"/>
          <w:color w:val="000000"/>
          <w:sz w:val="23"/>
        </w:rPr>
        <w:t>bcb519856ca93a666b1e48a9daef3f88c9b572a0</w:t>
      </w:r>
      <w:r>
        <w:rPr>
          <w:rFonts w:ascii="Times New Roman" w:hAnsi="Times New Roman" w:eastAsia="Times New Roman" w:cs="Times New Roman"/>
          <w:color w:val="000000"/>
          <w:sz w:val="24"/>
        </w:rPr>
        <w:t xml:space="preserve"> [pretrained token-classification model]. https://huggingface.co/ckiplab/albert-tiny-chinese-ner/tree/bcb519856ca93a666b1e48a9daef3f88c9b572a0</w:t>
      </w:r>
    </w:p>
    <w:p>
      <w:pPr>
        <w:pStyle w:val="ListBullet"/>
        <w:spacing w:line="480" w:lineRule="auto" w:after="0"/>
      </w:pPr>
      <w:r>
        <w:rPr>
          <w:rFonts w:ascii="Times New Roman" w:hAnsi="Times New Roman" w:eastAsia="Times New Roman" w:cs="Times New Roman"/>
          <w:color w:val="000000"/>
          <w:sz w:val="24"/>
        </w:rPr>
        <w:t xml:space="preserve">FlagOpen (2026) </w:t>
      </w:r>
      <w:r>
        <w:rPr>
          <w:rFonts w:ascii="Times New Roman" w:hAnsi="Times New Roman" w:eastAsia="Times New Roman" w:cs="Times New Roman"/>
          <w:i/>
          <w:color w:val="000000"/>
          <w:sz w:val="24"/>
        </w:rPr>
        <w:t>FlagEmbedding</w:t>
      </w:r>
      <w:r>
        <w:rPr>
          <w:rFonts w:ascii="Times New Roman" w:hAnsi="Times New Roman" w:eastAsia="Times New Roman" w:cs="Times New Roman"/>
          <w:color w:val="000000"/>
          <w:sz w:val="24"/>
        </w:rPr>
        <w:t>, version 1.4.0 [computer software]. https://github.com/FlagOpen/FlagEmbedding/releases/tag/v1.4.0</w:t>
      </w:r>
    </w:p>
    <w:p>
      <w:pPr>
        <w:pStyle w:val="ListBullet"/>
        <w:spacing w:line="480" w:lineRule="auto" w:after="0"/>
      </w:pPr>
      <w:r>
        <w:rPr>
          <w:rFonts w:ascii="Times New Roman" w:hAnsi="Times New Roman" w:eastAsia="Times New Roman" w:cs="Times New Roman"/>
          <w:color w:val="000000"/>
          <w:sz w:val="24"/>
        </w:rPr>
        <w:t xml:space="preserve">mozillazg and contributors (2025) </w:t>
      </w:r>
      <w:r>
        <w:rPr>
          <w:rFonts w:ascii="Times New Roman" w:hAnsi="Times New Roman" w:eastAsia="Times New Roman" w:cs="Times New Roman"/>
          <w:i/>
          <w:color w:val="000000"/>
          <w:sz w:val="24"/>
        </w:rPr>
        <w:t>pypinyin</w:t>
      </w:r>
      <w:r>
        <w:rPr>
          <w:rFonts w:ascii="Times New Roman" w:hAnsi="Times New Roman" w:eastAsia="Times New Roman" w:cs="Times New Roman"/>
          <w:color w:val="000000"/>
          <w:sz w:val="24"/>
        </w:rPr>
        <w:t>, version 0.55.0 [computer software]. https://pypi.org/project/pypinyin/0.55.0/</w:t>
      </w:r>
    </w:p>
    <w:p>
      <w:pPr>
        <w:pStyle w:val="ListBullet"/>
        <w:spacing w:line="480" w:lineRule="auto" w:after="0"/>
      </w:pPr>
      <w:r>
        <w:rPr>
          <w:rFonts w:ascii="Times New Roman" w:hAnsi="Times New Roman" w:eastAsia="Times New Roman" w:cs="Times New Roman"/>
          <w:color w:val="000000"/>
          <w:sz w:val="24"/>
        </w:rPr>
        <w:t xml:space="preserve">The scikit-learn developers (2026) </w:t>
      </w:r>
      <w:r>
        <w:rPr>
          <w:rFonts w:ascii="Times New Roman" w:hAnsi="Times New Roman" w:eastAsia="Times New Roman" w:cs="Times New Roman"/>
          <w:i/>
          <w:color w:val="000000"/>
          <w:sz w:val="24"/>
        </w:rPr>
        <w:t>scikit-learn</w:t>
      </w:r>
      <w:r>
        <w:rPr>
          <w:rFonts w:ascii="Times New Roman" w:hAnsi="Times New Roman" w:eastAsia="Times New Roman" w:cs="Times New Roman"/>
          <w:color w:val="000000"/>
          <w:sz w:val="24"/>
        </w:rPr>
        <w:t>, version 1.9.0 [computer software]. https://doi.org/10.5281/zenodo.20510517</w:t>
      </w:r>
    </w:p>
    <w:p>
      <w:pPr>
        <w:pStyle w:val="ListBullet"/>
        <w:spacing w:line="480" w:lineRule="auto" w:after="0"/>
      </w:pPr>
      <w:r>
        <w:rPr>
          <w:rFonts w:ascii="Times New Roman" w:hAnsi="Times New Roman" w:eastAsia="Times New Roman" w:cs="Times New Roman"/>
          <w:color w:val="000000"/>
          <w:sz w:val="24"/>
        </w:rPr>
        <w:t xml:space="preserve">Gommers, R.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(2026) </w:t>
      </w:r>
      <w:r>
        <w:rPr>
          <w:rFonts w:ascii="Times New Roman" w:hAnsi="Times New Roman" w:eastAsia="Times New Roman" w:cs="Times New Roman"/>
          <w:i/>
          <w:color w:val="000000"/>
          <w:sz w:val="24"/>
        </w:rPr>
        <w:t>SciPy</w:t>
      </w:r>
      <w:r>
        <w:rPr>
          <w:rFonts w:ascii="Times New Roman" w:hAnsi="Times New Roman" w:eastAsia="Times New Roman" w:cs="Times New Roman"/>
          <w:color w:val="000000"/>
          <w:sz w:val="24"/>
        </w:rPr>
        <w:t>, version 1.18.0 [computer software]. https://doi.org/10.5281/zenodo.20764140</w:t>
      </w:r>
    </w:p>
    <w:p>
      <w:pPr>
        <w:pStyle w:val="ListBullet"/>
        <w:spacing w:line="480" w:lineRule="auto" w:after="0"/>
      </w:pPr>
      <w:r>
        <w:rPr>
          <w:rFonts w:ascii="Times New Roman" w:hAnsi="Times New Roman" w:eastAsia="Times New Roman" w:cs="Times New Roman"/>
          <w:color w:val="000000"/>
          <w:sz w:val="24"/>
        </w:rPr>
        <w:t xml:space="preserve">The pandas development team (2026) </w:t>
      </w:r>
      <w:r>
        <w:rPr>
          <w:rFonts w:ascii="Times New Roman" w:hAnsi="Times New Roman" w:eastAsia="Times New Roman" w:cs="Times New Roman"/>
          <w:i/>
          <w:color w:val="000000"/>
          <w:sz w:val="24"/>
        </w:rPr>
        <w:t>pandas</w:t>
      </w:r>
      <w:r>
        <w:rPr>
          <w:rFonts w:ascii="Times New Roman" w:hAnsi="Times New Roman" w:eastAsia="Times New Roman" w:cs="Times New Roman"/>
          <w:color w:val="000000"/>
          <w:sz w:val="24"/>
        </w:rPr>
        <w:t>, version 3.0.5 [computer software]. https://doi.org/10.5281/zenodo.21500199</w:t>
      </w:r>
    </w:p>
    <w:sectPr w:rsidR="00FC693F" w:rsidRPr="0006063C" w:rsidSect="00034616">
      <w:headerReference w:type="default" r:id="rId9"/>
      <w:footerReference w:type="default" r:id="rId10"/>
      <w:pgSz w:w="12240" w:h="15840"/>
      <w:pgMar w:top="1440" w:right="1440" w:bottom="1440" w:left="1440" w:header="576"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60" w:line="276" w:lineRule="auto"/>
      <w:outlineLvl w:val="0"/>
    </w:pPr>
    <w:rPr>
      <w:rFonts w:ascii="Times New Roman" w:hAnsi="Times New Roman" w:eastAsia="Times New Roman" w:cs="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40" w:line="276" w:lineRule="auto"/>
      <w:outlineLvl w:val="1"/>
    </w:pPr>
    <w:rPr>
      <w:rFonts w:ascii="Times New Roman" w:hAnsi="Times New Roman" w:eastAsia="Times New Roman" w:cs="Times New Roman"/>
      <w:b w:val="0"/>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76" w:lineRule="auto" w:before="60" w:after="120"/>
    </w:pPr>
    <w:rPr>
      <w:rFonts w:ascii="Times New Roman" w:hAnsi="Times New Roman" w:eastAsia="Times New Roman" w:cs="Times New Roman"/>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ltText">
    <w:name w:val="Alt Text"/>
    <w:pPr>
      <w:spacing w:line="276" w:lineRule="auto" w:after="120"/>
      <w:ind w:left="360" w:right="360"/>
    </w:pPr>
    <w:rPr>
      <w:rFonts w:ascii="Times New Roman" w:hAnsi="Times New Roman" w:eastAsia="Times New Roman" w:cs="Times New Roman"/>
      <w:b w:val="0"/>
      <w:i/>
      <w:color w:val="000000"/>
      <w:sz w:val="18"/>
    </w:rPr>
  </w:style>
  <w:style w:type="paragraph" w:customStyle="1" w:styleId="References">
    <w:name w:val="References"/>
    <w:pPr>
      <w:spacing w:line="480" w:lineRule="auto" w:after="0"/>
      <w:ind w:left="360" w:hanging="360"/>
    </w:pPr>
    <w:rPr>
      <w:rFonts w:ascii="Times New Roman" w:hAnsi="Times New Roman" w:eastAsia="Times New Roman" w:cs="Times New Roman"/>
      <w:b w:val="0"/>
      <w:i w:val="0"/>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Methods</dc:title>
  <dc:subject>Chinese rap lyrical-repertoire analysis</dc:subject>
  <dc:creator/>
  <cp:keywords>Chinese rap, digital humanities, BGE-M3, lyrics, robustness</cp:keywords>
  <dc:description/>
  <cp:lastModifiedBy/>
  <cp:revision>1</cp:revision>
  <dcterms:created xsi:type="dcterms:W3CDTF">2013-12-23T23:15:00Z</dcterms:created>
  <dcterms:modified xsi:type="dcterms:W3CDTF">2013-12-23T23:15:00Z</dcterms:modified>
  <cp:category/>
</cp:coreProperties>
</file>