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000000"/>
          <w:sz w:val="18"/>
        </w:rPr>
        <w:t>RESEARCH ARTICLE</w:t>
      </w:r>
    </w:p>
    <w:p>
      <w:pPr>
        <w:spacing w:after="480" w:line="252" w:lineRule="auto"/>
        <w:jc w:val="center"/>
      </w:pPr>
      <w:r>
        <w:rPr>
          <w:rFonts w:ascii="Times New Roman" w:hAnsi="Times New Roman" w:eastAsia="Times New Roman" w:cs="Times New Roman"/>
          <w:b/>
          <w:color w:val="000000"/>
          <w:sz w:val="38"/>
        </w:rPr>
        <w:t>Language, Reference, and Written Rhyme: Evidence-Grounded Downstream Analysis of Chinese Rap Lyrics</w:t>
      </w:r>
    </w:p>
    <w:p>
      <w:pPr>
        <w:spacing w:line="276" w:lineRule="auto" w:after="100"/>
        <w:jc w:val="center"/>
      </w:pPr>
      <w:r>
        <w:rPr>
          <w:rFonts w:ascii="Times New Roman" w:hAnsi="Times New Roman" w:eastAsia="Times New Roman" w:cs="Times New Roman"/>
          <w:b/>
          <w:color w:val="000000"/>
          <w:sz w:val="22"/>
        </w:rPr>
        <w:t>[Author name(s)]</w:t>
      </w:r>
    </w:p>
    <w:p>
      <w:pPr>
        <w:spacing w:line="276" w:lineRule="auto" w:after="100"/>
        <w:jc w:val="center"/>
      </w:pPr>
      <w:r>
        <w:rPr>
          <w:rFonts w:ascii="Times New Roman" w:hAnsi="Times New Roman" w:eastAsia="Times New Roman" w:cs="Times New Roman"/>
          <w:b w:val="0"/>
          <w:color w:val="000000"/>
          <w:sz w:val="22"/>
        </w:rPr>
        <w:t>[Affiliation(s)]</w:t>
      </w:r>
    </w:p>
    <w:p>
      <w:pPr>
        <w:spacing w:line="276" w:lineRule="auto" w:after="100"/>
        <w:jc w:val="center"/>
      </w:pPr>
      <w:r>
        <w:rPr>
          <w:rFonts w:ascii="Times New Roman" w:hAnsi="Times New Roman" w:eastAsia="Times New Roman" w:cs="Times New Roman"/>
          <w:b w:val="0"/>
          <w:color w:val="000000"/>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makes three linked contributions. First, strict fixed-corpus retrieval compares frozen BGE-M3, character 2–5-gram term frequency–inverse document frequency (TF–IDF), and untuned fusion after removing each query song and detected duplicates from candidate profiles. Second, a Chinese-rap named-entity recognition (NER) schema, two candidate baselines, an 800-occurrence dual-review package, and a provisional cultural-reference network make every edge textual and typed; incomplete human review precludes precision, recall, or an F1 score (the harmonic mean of precision and recall).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000000"/>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Domain-matched corpora also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work shows that nodes, windows, and relations must follow the research question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and that co-occurrence and embedding similarity are distinct evidence layers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canonical snapshot contains 7,211 songs and 22,128 lyric chunks. A derived clean-text sidecar preserves the canonical keys while applying deterministic text and metadata gates. All 22,128 chunk keys reconcile one-to-one with the sidecar; 21,553 chunks are eligible clean text and 575 metadata-only chunks are withheld. The snapshot contains 241 source-credit labels, of which 226 have at least five songs. Artist/title comparison is eligible for 7,134 songs and ineligible for 77; 102 songs are excluded from title-semantic use. Missing or doubtful values are not silently guessed.</w:t>
      </w:r>
    </w:p>
    <w:p>
      <w:pPr>
        <w:widowControl/>
        <w:spacing w:line="480" w:lineRule="auto" w:after="0"/>
        <w:ind w:firstLine="360"/>
      </w:pPr>
      <w:r>
        <w:rPr>
          <w:rFonts w:ascii="Times New Roman" w:hAnsi="Times New Roman" w:eastAsia="Times New Roman" w:cs="Times New Roman"/>
          <w:color w:val="000000"/>
          <w:sz w:val="24"/>
        </w:rPr>
        <w:t>The corpus was supplied as a private frozen export. It lacks per-track URLs or stable platform identifiers, and project records do not verify platforms, acquisition route or dates, temporal coverage, sampling, transcription origin, or rights and ethics basis. It is therefore a convenience snapshot rather than a census, and acquisition is not independently reconstructable. Owner-supplied facts are required before submission and tracked in the author-action record; none is inferred from lyrics or filenames.</w:t>
      </w:r>
    </w:p>
    <w:p>
      <w:pPr>
        <w:widowControl/>
        <w:spacing w:line="480" w:lineRule="auto" w:after="0"/>
        <w:ind w:firstLine="360"/>
      </w:pPr>
      <w:r>
        <w:rPr>
          <w:rFonts w:ascii="Times New Roman" w:hAnsi="Times New Roman" w:eastAsia="Times New Roman" w:cs="Times New Roman"/>
          <w:color w:val="000000"/>
          <w:sz w:val="24"/>
        </w:rPr>
        <w:t xml:space="preserve">Cleaning is necessary but is not the research contribution. The public supplement records hashes, row-count reconciliation, key uniqueness, eligibility flags, and exception totals. The analytical rules are: use only </w:t>
      </w:r>
      <w:r>
        <w:rPr>
          <w:rFonts w:ascii="Courier New" w:hAnsi="Courier New" w:eastAsia="Courier New" w:cs="Courier New"/>
          <w:color w:val="000000"/>
          <w:sz w:val="23"/>
        </w:rPr>
        <w:t>analysis_text</w:t>
      </w:r>
      <w:r>
        <w:rPr>
          <w:rFonts w:ascii="Times New Roman" w:hAnsi="Times New Roman" w:eastAsia="Times New Roman" w:cs="Times New Roman"/>
          <w:color w:val="000000"/>
          <w:sz w:val="24"/>
        </w:rPr>
        <w:t xml:space="preserve"> marked </w:t>
      </w:r>
      <w:r>
        <w:rPr>
          <w:rFonts w:ascii="Courier New" w:hAnsi="Courier New" w:eastAsia="Courier New" w:cs="Courier New"/>
          <w:color w:val="000000"/>
          <w:sz w:val="23"/>
        </w:rPr>
        <w:t>eligible_clean_text</w:t>
      </w:r>
      <w:r>
        <w:rPr>
          <w:rFonts w:ascii="Times New Roman" w:hAnsi="Times New Roman" w:eastAsia="Times New Roman" w:cs="Times New Roman"/>
          <w:color w:val="000000"/>
          <w:sz w:val="24"/>
        </w:rPr>
        <w:t>; preserve one canonical song row per song; split at song level before expanding to chunks, lines, or entity occurrences; and keep identical song-content and clean-text hash groups within one partition or remove cross-partition copies. The audit identifies 405 exact song-content groups spanning 921 songs, which makes this grouping material rather than cosmetic.</w:t>
      </w:r>
    </w:p>
    <w:p>
      <w:pPr>
        <w:widowControl/>
        <w:spacing w:line="480" w:lineRule="auto" w:after="0"/>
        <w:ind w:firstLine="360"/>
      </w:pPr>
      <w:r>
        <w:rPr>
          <w:rFonts w:ascii="Times New Roman" w:hAnsi="Times New Roman" w:eastAsia="Times New Roman" w:cs="Times New Roman"/>
          <w:color w:val="000000"/>
          <w:sz w:val="24"/>
        </w:rPr>
        <w:t>The source-credit label is immutable corpus provenance, not independently verified identity. Four titles have externally verified overrides in the metadata sidecar, but the study does not attempt global person resolution. This boundary affects every task: retrieval predicts a corpus label; NER identifies lyric-reference surfaces; rhyme fingerprints summarize label-attached written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keepLines/>
        <w:spacing w:before="160" w:after="40"/>
        <w:jc w:val="center"/>
      </w:pPr>
      <w:r>
        <w:drawing>
          <wp:inline xmlns:a="http://schemas.openxmlformats.org/drawingml/2006/main" xmlns:pic="http://schemas.openxmlformats.org/drawingml/2006/picture">
            <wp:extent cx="5715000" cy="3824653"/>
            <wp:docPr id="1" name="Picture 1" descr="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Each branch states a boundary against identity, social-relation, or performed-rhyme claims." title="A top-to-bottom research pipeline begins with a frozen Chinese-rap lyric corpus "/>
            <wp:cNvGraphicFramePr>
              <a:graphicFrameLocks noChangeAspect="1"/>
            </wp:cNvGraphicFramePr>
            <a:graphic>
              <a:graphicData uri="http://schemas.openxmlformats.org/drawingml/2006/picture">
                <pic:pic>
                  <pic:nvPicPr>
                    <pic:cNvPr id="0" name="figure_1_research_design.png"/>
                    <pic:cNvPicPr/>
                  </pic:nvPicPr>
                  <pic:blipFill>
                    <a:blip r:embed="rId11"/>
                    <a:stretch>
                      <a:fillRect/>
                    </a:stretch>
                  </pic:blipFill>
                  <pic:spPr>
                    <a:xfrm>
                      <a:off x="0" y="0"/>
                      <a:ext cx="5715000" cy="3824653"/>
                    </a:xfrm>
                    <a:prstGeom prst="rect"/>
                  </pic:spPr>
                </pic:pic>
              </a:graphicData>
            </a:graphic>
          </wp:inline>
        </w:drawing>
      </w:r>
    </w:p>
    <w:p>
      <w:pPr>
        <w:pStyle w:val="Caption"/>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Each branch states a boundary against identity, social-relation, or performed-rhyme claims.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keepLines/>
        <w:spacing w:before="160" w:after="40"/>
        <w:jc w:val="center"/>
      </w:pPr>
      <w:r>
        <w:drawing>
          <wp:inline xmlns:a="http://schemas.openxmlformats.org/drawingml/2006/main" xmlns:pic="http://schemas.openxmlformats.org/drawingml/2006/picture">
            <wp:extent cx="5715000" cy="3121269"/>
            <wp:docPr id="2" name="Picture 2" descr="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 title="Two dot-and-whisker panels compare five retrieval metrics. In the model panel, f"/>
            <wp:cNvGraphicFramePr>
              <a:graphicFrameLocks noChangeAspect="1"/>
            </wp:cNvGraphicFramePr>
            <a:graphic>
              <a:graphicData uri="http://schemas.openxmlformats.org/drawingml/2006/picture">
                <pic:pic>
                  <pic:nvPicPr>
                    <pic:cNvPr id="0" name="figure_2_retrieval_benchmark.png"/>
                    <pic:cNvPicPr/>
                  </pic:nvPicPr>
                  <pic:blipFill>
                    <a:blip r:embed="rId12"/>
                    <a:stretch>
                      <a:fillRect/>
                    </a:stretch>
                  </pic:blipFill>
                  <pic:spPr>
                    <a:xfrm>
                      <a:off x="0" y="0"/>
                      <a:ext cx="5715000" cy="3121269"/>
                    </a:xfrm>
                    <a:prstGeom prst="rect"/>
                  </pic:spPr>
                </pic:pic>
              </a:graphicData>
            </a:graphic>
          </wp:inline>
        </w:drawing>
      </w:r>
    </w:p>
    <w:p>
      <w:pPr>
        <w:pStyle w:val="Caption"/>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the two text treatments are combined and projected by deterministic principal-components analysis. The first two components retain 26.2% of profile variation. Position is therefore an approximate overview for navigation; only a retained line defines a released match, and screen distance alone is not interpreted. The focused ego diagram below it uses a circular navigation layout whose angle and radius carry no analytical meaning.</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Two legacy, superseded sets—300 context-review forms and 300 occurrence-review tasks—contain zero completed decisions, and no verified entity or relation registry rows exist. The primary release instead provides a newly sampled 800-occurrence dual-review package. We therefore treat NER as a research-resource and readiness result. No accuracy metric is reported.</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bl>
    <w:p>
      <w:pPr>
        <w:spacing w:after="20" w:line="240" w:lineRule="auto"/>
      </w:pPr>
    </w:p>
    <w:p>
      <w:pPr>
        <w:pStyle w:val="Caption"/>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keepLines/>
        <w:spacing w:before="160" w:after="40"/>
        <w:jc w:val="center"/>
      </w:pPr>
      <w:r>
        <w:drawing>
          <wp:inline xmlns:a="http://schemas.openxmlformats.org/drawingml/2006/main" xmlns:pic="http://schemas.openxmlformats.org/drawingml/2006/picture">
            <wp:extent cx="5715000" cy="4879731"/>
            <wp:docPr id="3" name="Picture 3" descr="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 title="Three evidence-control cards show separate progressions for entity strings, sour"/>
            <wp:cNvGraphicFramePr>
              <a:graphicFrameLocks noChangeAspect="1"/>
            </wp:cNvGraphicFramePr>
            <a:graphic>
              <a:graphicData uri="http://schemas.openxmlformats.org/drawingml/2006/picture">
                <pic:pic>
                  <pic:nvPicPr>
                    <pic:cNvPr id="0" name="figure_3_cultural_reference_evidence.png"/>
                    <pic:cNvPicPr/>
                  </pic:nvPicPr>
                  <pic:blipFill>
                    <a:blip r:embed="rId13"/>
                    <a:stretch>
                      <a:fillRect/>
                    </a:stretch>
                  </pic:blipFill>
                  <pic:spPr>
                    <a:xfrm>
                      <a:off x="0" y="0"/>
                      <a:ext cx="5715000" cy="4879731"/>
                    </a:xfrm>
                    <a:prstGeom prst="rect"/>
                  </pic:spPr>
                </pic:pic>
              </a:graphicData>
            </a:graphic>
          </wp:inline>
        </w:drawing>
      </w:r>
    </w:p>
    <w:p>
      <w:pPr>
        <w:pStyle w:val="Caption"/>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retained population contains 283,806 strict-Han-ending line occurrences across 5,619 songs; 52,152 are repeated-line occurrences. Repetition is retained because hooks are part of the written sequence, but every transition must connect two lines that were originally adjacent in the same chunk. No transition bridges an omitted original line.</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keepLines/>
        <w:spacing w:before="160" w:after="40"/>
        <w:jc w:val="center"/>
      </w:pPr>
      <w:r>
        <w:drawing>
          <wp:inline xmlns:a="http://schemas.openxmlformats.org/drawingml/2006/main" xmlns:pic="http://schemas.openxmlformats.org/drawingml/2006/picture">
            <wp:extent cx="5715000" cy="4440115"/>
            <wp:docPr id="4" name="Picture 4" descr="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 title="Four aligned dot-and-whisker panels show Top-1, Top-3, Top-5, and MRR for five m"/>
            <wp:cNvGraphicFramePr>
              <a:graphicFrameLocks noChangeAspect="1"/>
            </wp:cNvGraphicFramePr>
            <a:graphic>
              <a:graphicData uri="http://schemas.openxmlformats.org/drawingml/2006/picture">
                <pic:pic>
                  <pic:nvPicPr>
                    <pic:cNvPr id="0" name="figure_4_written_rhyme_benchmark.png"/>
                    <pic:cNvPicPr/>
                  </pic:nvPicPr>
                  <pic:blipFill>
                    <a:blip r:embed="rId14"/>
                    <a:stretch>
                      <a:fillRect/>
                    </a:stretch>
                  </pic:blipFill>
                  <pic:spPr>
                    <a:xfrm>
                      <a:off x="0" y="0"/>
                      <a:ext cx="5715000" cy="4440115"/>
                    </a:xfrm>
                    <a:prstGeom prst="rect"/>
                  </pic:spPr>
                </pic:pic>
              </a:graphicData>
            </a:graphic>
          </wp:inline>
        </w:drawing>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dual-review design is the next required empirical step.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Repeated lines are retained with their original adjacency because hooks are real compositional structure; a non-repeated-target sensitivity analysis shows that the headline ranking result is not solely driven by them.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