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000000"/>
          <w:sz w:val="24"/>
        </w:rPr>
        <w:t>Table S1 records the executable environment used or recovered for the frozen analyses. The vector and result artifacts are hash-addressed. The historical device and realized mixed-precision setting used for the original BGE-M3 encoding were not captured; current hardware is not treated as evidence of that earlier run.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CPython 3.12.13; Windows 11 (</w:t>
            </w:r>
            <w:r>
              <w:rPr>
                <w:rFonts w:ascii="Courier New" w:hAnsi="Courier New" w:eastAsia="Courier New" w:cs="Courier New"/>
                <w:color w:val="000000"/>
                <w:sz w:val="17"/>
              </w:rPr>
              <w:t>10.0.26200</w:t>
            </w:r>
            <w:r>
              <w:rPr>
                <w:rFonts w:ascii="Times New Roman" w:hAnsi="Times New Roman" w:eastAsia="Times New Roman" w:cs="Times New Roman"/>
                <w:color w:val="000000"/>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Task-specific deterministic seeds; Python executable SHA-256 </w:t>
            </w:r>
            <w:r>
              <w:rPr>
                <w:rFonts w:ascii="Courier New" w:hAnsi="Courier New" w:eastAsia="Courier New" w:cs="Courier New"/>
                <w:color w:val="000000"/>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BGE, named-entity recognition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BAAI/bge-m3</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5617a9f61b028005a4858fdac845db406aefb181</w:t>
            </w:r>
            <w:r>
              <w:rPr>
                <w:rFonts w:ascii="Times New Roman" w:hAnsi="Times New Roman" w:eastAsia="Times New Roman" w:cs="Times New Roman"/>
                <w:color w:val="000000"/>
                <w:sz w:val="18"/>
              </w:rPr>
              <w:t>; FlagEmbedding 1.4.0;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Dense head; 1,024 dimensions; </w:t>
            </w:r>
            <w:r>
              <w:rPr>
                <w:rFonts w:ascii="Courier New" w:hAnsi="Courier New" w:eastAsia="Courier New" w:cs="Courier New"/>
                <w:color w:val="000000"/>
                <w:sz w:val="17"/>
              </w:rPr>
              <w:t>max_length=2048</w:t>
            </w:r>
            <w:r>
              <w:rPr>
                <w:rFonts w:ascii="Times New Roman" w:hAnsi="Times New Roman" w:eastAsia="Times New Roman" w:cs="Times New Roman"/>
                <w:color w:val="000000"/>
                <w:sz w:val="18"/>
              </w:rPr>
              <w:t>; batch 2;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Checkpoint/files and frozen vector hash verified; historical device and realized </w:t>
            </w:r>
            <w:r>
              <w:rPr>
                <w:rFonts w:ascii="Courier New" w:hAnsi="Courier New" w:eastAsia="Courier New" w:cs="Courier New"/>
                <w:color w:val="000000"/>
                <w:sz w:val="17"/>
              </w:rPr>
              <w:t>use_fp16</w:t>
            </w:r>
            <w:r>
              <w:rPr>
                <w:rFonts w:ascii="Times New Roman" w:hAnsi="Times New Roman" w:eastAsia="Times New Roman" w:cs="Times New Roman"/>
                <w:color w:val="000000"/>
                <w:sz w:val="18"/>
              </w:rPr>
              <w:t xml:space="preserve"> unavailable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ckiplab/albert-tiny-chinese-ner</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bcb519856ca93a666b1e48a9daef3f88c9b572a0</w:t>
            </w:r>
            <w:r>
              <w:rPr>
                <w:rFonts w:ascii="Times New Roman" w:hAnsi="Times New Roman" w:eastAsia="Times New Roman" w:cs="Times New Roman"/>
                <w:color w:val="000000"/>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Style.FINALS_TONE3</w:t>
            </w:r>
            <w:r>
              <w:rPr>
                <w:rFonts w:ascii="Times New Roman" w:hAnsi="Times New Roman" w:eastAsia="Times New Roman" w:cs="Times New Roman"/>
                <w:color w:val="000000"/>
                <w:sz w:val="18"/>
              </w:rPr>
              <w:t xml:space="preserve">; </w:t>
            </w:r>
            <w:r>
              <w:rPr>
                <w:rFonts w:ascii="Courier New" w:hAnsi="Courier New" w:eastAsia="Courier New" w:cs="Courier New"/>
                <w:color w:val="000000"/>
                <w:sz w:val="17"/>
              </w:rPr>
              <w:t>strict=True</w:t>
            </w:r>
            <w:r>
              <w:rPr>
                <w:rFonts w:ascii="Times New Roman" w:hAnsi="Times New Roman" w:eastAsia="Times New Roman" w:cs="Times New Roman"/>
                <w:color w:val="000000"/>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Sparse term frequency–inverse document frequency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000000"/>
          <w:sz w:val="24"/>
        </w:rPr>
        <w:t xml:space="preserve">The BGE checkpoint configuration contains </w:t>
      </w:r>
      <w:r>
        <w:rPr>
          <w:rFonts w:ascii="Courier New" w:hAnsi="Courier New" w:eastAsia="Courier New" w:cs="Courier New"/>
          <w:color w:val="000000"/>
          <w:sz w:val="23"/>
        </w:rPr>
        <w:t>transformers_version=4.33.0</w:t>
      </w:r>
      <w:r>
        <w:rPr>
          <w:rFonts w:ascii="Times New Roman" w:hAnsi="Times New Roman" w:eastAsia="Times New Roman" w:cs="Times New Roman"/>
          <w:color w:val="000000"/>
          <w:sz w:val="24"/>
        </w:rPr>
        <w:t xml:space="preserve">; that is upstream serialization metadata and is not reported as this project's runtime. The canonical environment-map fingerprint is SHA-256 </w:t>
      </w:r>
      <w:r>
        <w:rPr>
          <w:rFonts w:ascii="Courier New" w:hAnsi="Courier New" w:eastAsia="Courier New" w:cs="Courier New"/>
          <w:color w:val="000000"/>
          <w:sz w:val="23"/>
        </w:rPr>
        <w:t>b290363fa776f50219cd16ee124fd88b7253d77658bdb9f0d2cef42ee2453152</w:t>
      </w:r>
      <w:r>
        <w:rPr>
          <w:rFonts w:ascii="Times New Roman" w:hAnsi="Times New Roman" w:eastAsia="Times New Roman" w:cs="Times New Roman"/>
          <w:color w:val="000000"/>
          <w:sz w:val="24"/>
        </w:rPr>
        <w:t xml:space="preserve">. Full file hashes and official artifact URLs appear in </w:t>
      </w:r>
      <w:r>
        <w:rPr>
          <w:rFonts w:ascii="Courier New" w:hAnsi="Courier New" w:eastAsia="Courier New" w:cs="Courier New"/>
          <w:color w:val="000000"/>
          <w:sz w:val="23"/>
        </w:rPr>
        <w:t>software_citation_recommendations.md</w:t>
      </w:r>
      <w:r>
        <w:rPr>
          <w:rFonts w:ascii="Times New Roman" w:hAnsi="Times New Roman" w:eastAsia="Times New Roman" w:cs="Times New Roman"/>
          <w:color w:val="000000"/>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000000"/>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000000"/>
          <w:sz w:val="23"/>
        </w:rPr>
        <w:t>fit_transform</w:t>
      </w:r>
      <w:r>
        <w:rPr>
          <w:rFonts w:ascii="Times New Roman" w:hAnsi="Times New Roman" w:eastAsia="Times New Roman" w:cs="Times New Roman"/>
          <w:color w:val="000000"/>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000000"/>
          <w:sz w:val="24"/>
        </w:rPr>
        <w:t>The reported retrieval estimand is therefore:</w:t>
      </w:r>
    </w:p>
    <w:p>
      <w:pPr>
        <w:spacing w:line="360" w:lineRule="auto"/>
        <w:ind w:left="504" w:right="504"/>
      </w:pPr>
      <w:r>
        <w:rPr>
          <w:rFonts w:ascii="Times New Roman" w:hAnsi="Times New Roman" w:eastAsia="Times New Roman" w:cs="Times New Roman"/>
          <w:color w:val="000000"/>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000000"/>
          <w:sz w:val="24"/>
        </w:rPr>
        <w:t xml:space="preserve">It is not a prospective estimate for later songs or another corpus. The original contract remains unchanged; </w:t>
      </w:r>
      <w:r>
        <w:rPr>
          <w:rFonts w:ascii="Courier New" w:hAnsi="Courier New" w:eastAsia="Courier New" w:cs="Courier New"/>
          <w:color w:val="000000"/>
          <w:sz w:val="23"/>
        </w:rPr>
        <w:t>PROTOCOL_AMENDMENT_PD001_TRANSDUCTIVE_TFIDF.md</w:t>
      </w:r>
      <w:r>
        <w:rPr>
          <w:rFonts w:ascii="Times New Roman" w:hAnsi="Times New Roman" w:eastAsia="Times New Roman" w:cs="Times New Roman"/>
          <w:color w:val="000000"/>
          <w:sz w:val="24"/>
        </w:rPr>
        <w:t xml:space="preserve"> records the audit chronology and affected artifacts. The primary fixed-corpus estimates remain those of the frozen implementation.</w:t>
      </w:r>
    </w:p>
    <w:p>
      <w:pPr>
        <w:widowControl/>
        <w:spacing w:line="480" w:lineRule="auto" w:after="0"/>
        <w:ind w:firstLine="360"/>
      </w:pPr>
      <w:r>
        <w:rPr>
          <w:rFonts w:ascii="Times New Roman" w:hAnsi="Times New Roman" w:eastAsia="Times New Roman" w:cs="Times New Roman"/>
          <w:color w:val="000000"/>
          <w:sz w:val="24"/>
        </w:rPr>
        <w:t>A grouped sixfold sensitivity tests whether transductive vocabulary and IDF exposure explains the fusion result. Each of 5,430 global exact/near-duplicate components is assigned wholly to one fold; the 5,455 queries are distributed as 910 in one fold and 909 in each of five folds. Every test fold contains all 204 source-credit labels, and each corresponding training partition retains at least five components per label. Inductive TF–IDF is fitted only on the five training folds and then transforms their held-out fold. A matched transductive system fits vocabulary and IDF on all 5,455 unlabeled texts but uses the same fold-specific training profiles, test queries, duplicate weights, candidate labels, fusion rule, and rankings. Because cross-fitted profiles contain five-sixths of the components, their absolute scores are a sensitivity result rather than a direct replacement for leave-one-component-out Table 2.</w:t>
      </w:r>
    </w:p>
    <w:p>
      <w:pPr>
        <w:widowControl/>
        <w:spacing w:line="480" w:lineRule="auto" w:after="0"/>
        <w:ind w:firstLine="360"/>
      </w:pPr>
      <w:r>
        <w:rPr>
          <w:rFonts w:ascii="Times New Roman" w:hAnsi="Times New Roman" w:eastAsia="Times New Roman" w:cs="Times New Roman"/>
          <w:color w:val="000000"/>
          <w:sz w:val="24"/>
        </w:rPr>
        <w:t>Inductive fusion yields macro MRR 0.439712 versus 0.404763 for inductive TF–IDF, a paired difference of +0.034949 (95% CI 0.024373–0.046082). Matched transductive exposure increases TF–IDF MRR by +0.003963 (0.001020–0.006942) and fusion MRR by +0.003681 (0.001413–0.006416). Intervals use the same 5,000-replicate paired two-stage label/component bootstrap principle as the primary analysis. Thus evaluation-corpus exposure is mildly optimistic within this corpus, but its magnitude cannot explain the training-only fusion advantage. This sensitivity does not estimate prospective or external-population performance.</w:t>
      </w:r>
    </w:p>
    <w:p>
      <w:pPr>
        <w:pStyle w:val="Heading1"/>
      </w:pPr>
      <w:r>
        <w:t>S3. PD-002 Corpus Reconciliation and Upstream Chunk Deduplication</w:t>
      </w:r>
    </w:p>
    <w:p>
      <w:pPr>
        <w:widowControl/>
        <w:spacing w:line="480" w:lineRule="auto" w:after="0"/>
      </w:pPr>
      <w:r>
        <w:rPr>
          <w:rFonts w:ascii="Times New Roman" w:hAnsi="Times New Roman" w:eastAsia="Times New Roman" w:cs="Times New Roman"/>
          <w:color w:val="000000"/>
          <w:sz w:val="24"/>
        </w:rPr>
        <w:t xml:space="preserve">PD-002 was recorded after the frozen analyses when the legacy cleaner was found to delete repeated </w:t>
      </w:r>
      <w:r>
        <w:rPr>
          <w:rFonts w:ascii="Courier New" w:hAnsi="Courier New" w:eastAsia="Courier New" w:cs="Courier New"/>
          <w:color w:val="000000"/>
          <w:sz w:val="23"/>
        </w:rPr>
        <w:t>(source-credit label, exact cleaned chunk text)</w:t>
      </w:r>
      <w:r>
        <w:rPr>
          <w:rFonts w:ascii="Times New Roman" w:hAnsi="Times New Roman" w:eastAsia="Times New Roman" w:cs="Times New Roman"/>
          <w:color w:val="000000"/>
          <w:sz w:val="24"/>
        </w:rPr>
        <w:t xml:space="preserve"> rows before downstream duplicate controls. The reconciliation exactly reproduces the four historical stages: 26,833 chunks/7,721 song IDs in the raw export; 25,279/7,420 after title exclusions; 25,026/7,391 after line cleaning and empty removal; and 22,132/7,214 after keep-first chunk deduplication. The final stage removes 2,894 chunks and erases 177 song records. Of those records, 131 meet the conservative high-confidence rule of matching source-credit label, normalized title, and complete cleaned chunk sequence; the remaining 46 require review rather than automatic deletion.</w:t>
      </w:r>
    </w:p>
    <w:p>
      <w:pPr>
        <w:widowControl/>
        <w:spacing w:line="480" w:lineRule="auto" w:after="0"/>
        <w:ind w:firstLine="360"/>
      </w:pPr>
      <w:r>
        <w:rPr>
          <w:rFonts w:ascii="Times New Roman" w:hAnsi="Times New Roman" w:eastAsia="Times New Roman" w:cs="Times New Roman"/>
          <w:color w:val="000000"/>
          <w:sz w:val="24"/>
        </w:rPr>
        <w:t>The live native Google Sheet and local raw export align on all 26,833 song/chunk keys. All 33/33 substantive cell differences were adjudicated (29 title type coercions, two leading-apostrophe semantics, and two control-character import side effects), with none unresolved; this is a row-aligned provenance check, not a claim of remote/local byte identity. In the released shared-text-exclusion rhyme frame, the 204 labels remain fixed while restoring eligible pre-snapshot chunks expands songs from 5,619 to 5,621, line-bearing songs from 5,452 to 5,459, and transition-bearing songs from 5,347 to 5,353. Without retraining, this adds 7,033 strict-Han-ending lines, 4,938 adjacent transitions, and 6,472 repeat occurrences beyond first occurrences. Aggregate ending-family shares remain stable (total-variation distance 0.001789; switch-rate difference 0.001390), but the duplicate-aware population has not been used to retrain or reevaluate the predictive models. No stability claim is therefore made for top-</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accuracy, mean reciprocal rank, calibration, abstention, or paired model differences.</w:t>
      </w:r>
    </w:p>
    <w:p>
      <w:pPr>
        <w:pStyle w:val="Heading1"/>
      </w:pPr>
      <w:r>
        <w:t>S4. Repertoire-Graph Null and Projection Diagnostics</w:t>
      </w:r>
    </w:p>
    <w:p>
      <w:pPr>
        <w:widowControl/>
        <w:spacing w:line="480" w:lineRule="auto" w:after="0"/>
      </w:pPr>
      <w:r>
        <w:rPr>
          <w:rFonts w:ascii="Times New Roman" w:hAnsi="Times New Roman" w:eastAsia="Times New Roman" w:cs="Times New Roman"/>
          <w:color w:val="000000"/>
          <w:sz w:val="24"/>
        </w:rPr>
        <w:t xml:space="preserve">The published graph is the intersection of a 140-edge reciprocal-top-five network under primary duplicate control and a 145-edge network after cross-label shared-text exclusion. The observed intersection contains 86 edges. The primary null holds the first network fixed and applies 1,450 successful undirected double-edge swaps to the second network per replicate, preserving its complete node-degree sequence while randomizing endpoints. Across 10,000 fixed-seed replicates, the null intersection has mean 4.524, median 4, 95% range 1–9, and maximum 13; no replicate reaches 86, giving an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of 0.00010. An auxiliary 100,000-replicate source-label permutation gives mean 0.979 and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0.000010. These tests concern cross-treatment adjacency alignment, not edgewise significance, social relations, influence, or external cultural structure.</w:t>
      </w:r>
    </w:p>
    <w:p>
      <w:pPr>
        <w:widowControl/>
        <w:spacing w:line="480" w:lineRule="auto" w:after="0"/>
        <w:ind w:firstLine="360"/>
      </w:pPr>
      <w:r>
        <w:rPr>
          <w:rFonts w:ascii="Times New Roman" w:hAnsi="Times New Roman" w:eastAsia="Times New Roman" w:cs="Times New Roman"/>
          <w:color w:val="000000"/>
          <w:sz w:val="24"/>
        </w:rPr>
        <w:t xml:space="preserve">The deterministic two-dimensional display combines the normalized primary and sensitivity centroids, recentres them, and applies singular-value-decomposition PCA. Its first two components explain 26.20% of variation. Using cosine distance in the original 1,024-dimensional consensus space and Euclidean distance in the display, trustworthiness is 0.785, 0.795, and 0.804 at </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 5, 10, and 15. Exact-neighbour retention is 0.173, 0.268, and 0.347, compared with random expectations of 0.025, 0.049, and 0.074. Pairwise distance-rank correlation is 0.680. Only 18 of 86 released edges are mutual top-five neighbours in two dimensions. Accordingly, the PCA is a navigation overview; released graph lines, not screen distance, carry the relation claim.</w:t>
      </w:r>
    </w:p>
    <w:p>
      <w:pPr>
        <w:pStyle w:val="Heading1"/>
      </w:pPr>
      <w:r>
        <w:t>S5. External Written-Ending Implementation Check</w:t>
      </w:r>
    </w:p>
    <w:p>
      <w:pPr>
        <w:widowControl/>
        <w:spacing w:line="480" w:lineRule="auto" w:after="0"/>
      </w:pPr>
      <w:r>
        <w:rPr>
          <w:rFonts w:ascii="Times New Roman" w:hAnsi="Times New Roman" w:eastAsia="Times New Roman" w:cs="Times New Roman"/>
          <w:color w:val="000000"/>
          <w:sz w:val="24"/>
        </w:rPr>
        <w:t xml:space="preserve">The external MuChin resource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DOI </w:t>
      </w:r>
      <w:r>
        <w:rPr>
          <w:rFonts w:ascii="Courier New" w:hAnsi="Courier New" w:eastAsia="Courier New" w:cs="Courier New"/>
          <w:color w:val="000000"/>
          <w:sz w:val="23"/>
        </w:rPr>
        <w:t>10.24963/ijcai.2024/860</w:t>
      </w:r>
      <w:r>
        <w:rPr>
          <w:rFonts w:ascii="Times New Roman" w:hAnsi="Times New Roman" w:eastAsia="Times New Roman" w:cs="Times New Roman"/>
          <w:color w:val="000000"/>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markers as same-family-within-section indicators gives an F1 score (the harmonic mean of precision and recall) of 0.931 and a Matthews correlation of 0.541 for the project's deterministic same-family detection.</w:t>
      </w:r>
    </w:p>
    <w:p>
      <w:pPr>
        <w:widowControl/>
        <w:spacing w:line="480" w:lineRule="auto" w:after="0"/>
        <w:ind w:firstLine="360"/>
      </w:pPr>
      <w:r>
        <w:rPr>
          <w:rFonts w:ascii="Times New Roman" w:hAnsi="Times New Roman" w:eastAsia="Times New Roman" w:cs="Times New Roman"/>
          <w:color w:val="000000"/>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field collapses family identity. The check is therefore partially circular, excluded from model selection, and does not validate Chinese-rap rhyme, pronunciation, tone, cadence, beat alignment, or flow.</w:t>
      </w:r>
    </w:p>
    <w:p>
      <w:pPr>
        <w:pStyle w:val="Heading1"/>
      </w:pPr>
      <w:r>
        <w:t>S6. NER Annotation Path to Human Gold</w:t>
      </w:r>
    </w:p>
    <w:p>
      <w:pPr>
        <w:widowControl/>
        <w:spacing w:line="480" w:lineRule="auto" w:after="0"/>
      </w:pPr>
      <w:r>
        <w:rPr>
          <w:rFonts w:ascii="Times New Roman" w:hAnsi="Times New Roman" w:eastAsia="Times New Roman" w:cs="Times New Roman"/>
          <w:color w:val="000000"/>
          <w:sz w:val="24"/>
        </w:rPr>
        <w:t>The corpuswide private review package contains 800 distinct occurrences sampled by proposed type and agreement state: exact agreement, overlap agreement, type/boundary conflict, lexicon only, and transformer only. A separate claim-directed package contains every unique occurrence contributing to the ten currently released claims: 102 label/reference occurrence rows and 60 co-mention occurrence rows, with five rows overlapping, for 157 unique occurrences in total. Coverage is therefore 157/157 (100%) within the released-claim frame. Reviewer occurrence sheets add 20 real comparators and 16 synthetic boundary-attention controls; pair sheets add eight real non-released comparators to the 23 released co-mention support tasks.</w:t>
      </w:r>
    </w:p>
    <w:p>
      <w:pPr>
        <w:widowControl/>
        <w:spacing w:line="480" w:lineRule="auto" w:after="0"/>
        <w:ind w:firstLine="360"/>
      </w:pPr>
      <w:r>
        <w:rPr>
          <w:rFonts w:ascii="Times New Roman" w:hAnsi="Times New Roman" w:eastAsia="Times New Roman" w:cs="Times New Roman"/>
          <w:color w:val="000000"/>
          <w:sz w:val="24"/>
        </w:rPr>
        <w:t>For both packages, two reviewers work independently; in the claim-directed package, they are blind to claim/control status. Uncertainty, corrections, conflicting link decisions, and all disagreements require adjudication. At release, both reviewers and the adjudication sheets contain zero completed decisions. The claim-directed audit can ultimately confirm or reject the evidence underlying the released edges, but it is claim-conditioned and has no corpuswide negative frame; it cannot estimate corpuswide precision, recall, or F1. The 800-item package remains the route to those metrics and a song-level train/development/test split. Inter-annotator agreement, claim-confirmation rates, and all accuracy metrics remain withheld.</w:t>
      </w:r>
    </w:p>
    <w:p>
      <w:pPr>
        <w:widowControl/>
        <w:spacing w:line="480" w:lineRule="auto" w:after="0"/>
        <w:ind w:firstLine="360"/>
      </w:pPr>
      <w:r>
        <w:rPr>
          <w:rFonts w:ascii="Times New Roman" w:hAnsi="Times New Roman" w:eastAsia="Times New Roman" w:cs="Times New Roman"/>
          <w:color w:val="000000"/>
          <w:sz w:val="24"/>
        </w:rPr>
        <w:t>Two earlier, separate sets of 300 context forms and 300 occurrence tasks also contain no completed decisions and are superseded. No unreviewed package supports network centrality or demographic comparisons. The present 22-surface inventory and its six label-to-place and four co-mention edges are reproducibility-screened provisional evidence only.</w:t>
      </w:r>
    </w:p>
    <w:p>
      <w:pPr>
        <w:pStyle w:val="Heading1"/>
      </w:pPr>
      <w:r>
        <w:t>S7. Public/Private Release Boundary</w:t>
      </w:r>
    </w:p>
    <w:p>
      <w:pPr>
        <w:widowControl/>
        <w:spacing w:line="480" w:lineRule="auto" w:after="0"/>
      </w:pPr>
      <w:r>
        <w:rPr>
          <w:rFonts w:ascii="Times New Roman" w:hAnsi="Times New Roman" w:eastAsia="Times New Roman" w:cs="Times New Roman"/>
          <w:color w:val="000000"/>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000000"/>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000000"/>
          <w:sz w:val="23"/>
        </w:rPr>
        <w:t>DATA_PROVENANCE_AND_AUTHOR_ACTIONS.md</w:t>
      </w:r>
      <w:r>
        <w:rPr>
          <w:rFonts w:ascii="Times New Roman" w:hAnsi="Times New Roman" w:eastAsia="Times New Roman" w:cs="Times New Roman"/>
          <w:color w:val="000000"/>
          <w:sz w:val="24"/>
        </w:rPr>
        <w:t xml:space="preserve"> separates verified local facts from the owner-supplied information required before journal submission.</w:t>
      </w:r>
    </w:p>
    <w:p>
      <w:pPr>
        <w:pStyle w:val="Heading1"/>
      </w:pPr>
      <w:r>
        <w:t>Software and Model Records</w:t>
      </w:r>
    </w:p>
    <w:p>
      <w:pPr>
        <w:pStyle w:val="ListBullet"/>
        <w:spacing w:line="480" w:lineRule="auto" w:after="0"/>
      </w:pPr>
      <w:r>
        <w:rPr>
          <w:rFonts w:ascii="Times New Roman" w:hAnsi="Times New Roman" w:eastAsia="Times New Roman" w:cs="Times New Roman"/>
          <w:color w:val="000000"/>
          <w:sz w:val="24"/>
        </w:rPr>
        <w:t xml:space="preserve">Beijing Academy of Artificial Intelligence (2024) </w:t>
      </w:r>
      <w:r>
        <w:rPr>
          <w:rFonts w:ascii="Times New Roman" w:hAnsi="Times New Roman" w:eastAsia="Times New Roman" w:cs="Times New Roman"/>
          <w:i/>
          <w:color w:val="000000"/>
          <w:sz w:val="24"/>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000000"/>
          <w:sz w:val="24"/>
        </w:rPr>
        <w:t xml:space="preserve">CKIP Lab (2022) </w:t>
      </w:r>
      <w:r>
        <w:rPr>
          <w:rFonts w:ascii="Times New Roman" w:hAnsi="Times New Roman" w:eastAsia="Times New Roman" w:cs="Times New Roman"/>
          <w:i/>
          <w:color w:val="000000"/>
          <w:sz w:val="24"/>
        </w:rPr>
        <w:t>ckiplab/albert-tiny-chinese-ner</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bcb519856ca93a666b1e48a9daef3f88c9b572a0</w:t>
      </w:r>
      <w:r>
        <w:rPr>
          <w:rFonts w:ascii="Times New Roman" w:hAnsi="Times New Roman" w:eastAsia="Times New Roman" w:cs="Times New Roman"/>
          <w:color w:val="000000"/>
          <w:sz w:val="24"/>
        </w:rPr>
        <w:t xml:space="preserve">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000000"/>
          <w:sz w:val="24"/>
        </w:rPr>
        <w:t xml:space="preserve">FlagOpen (2026) </w:t>
      </w:r>
      <w:r>
        <w:rPr>
          <w:rFonts w:ascii="Times New Roman" w:hAnsi="Times New Roman" w:eastAsia="Times New Roman" w:cs="Times New Roman"/>
          <w:i/>
          <w:color w:val="000000"/>
          <w:sz w:val="24"/>
        </w:rPr>
        <w:t>FlagEmbedding</w:t>
      </w:r>
      <w:r>
        <w:rPr>
          <w:rFonts w:ascii="Times New Roman" w:hAnsi="Times New Roman" w:eastAsia="Times New Roman" w:cs="Times New Roman"/>
          <w:color w:val="000000"/>
          <w:sz w:val="24"/>
        </w:rPr>
        <w:t>,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000000"/>
          <w:sz w:val="24"/>
        </w:rPr>
        <w:t xml:space="preserve">mozillazg and contributors (2025) </w:t>
      </w:r>
      <w:r>
        <w:rPr>
          <w:rFonts w:ascii="Times New Roman" w:hAnsi="Times New Roman" w:eastAsia="Times New Roman" w:cs="Times New Roman"/>
          <w:i/>
          <w:color w:val="000000"/>
          <w:sz w:val="24"/>
        </w:rPr>
        <w:t>pypinyin</w:t>
      </w:r>
      <w:r>
        <w:rPr>
          <w:rFonts w:ascii="Times New Roman" w:hAnsi="Times New Roman" w:eastAsia="Times New Roman" w:cs="Times New Roman"/>
          <w:color w:val="000000"/>
          <w:sz w:val="24"/>
        </w:rPr>
        <w:t>, version 0.55.0 [computer software]. https://pypi.org/project/pypinyin/0.55.0/</w:t>
      </w:r>
    </w:p>
    <w:p>
      <w:pPr>
        <w:pStyle w:val="ListBullet"/>
        <w:spacing w:line="480" w:lineRule="auto" w:after="0"/>
      </w:pPr>
      <w:r>
        <w:rPr>
          <w:rFonts w:ascii="Times New Roman" w:hAnsi="Times New Roman" w:eastAsia="Times New Roman" w:cs="Times New Roman"/>
          <w:color w:val="000000"/>
          <w:sz w:val="24"/>
        </w:rPr>
        <w:t xml:space="preserve">The scikit-learn developers (2026) </w:t>
      </w:r>
      <w:r>
        <w:rPr>
          <w:rFonts w:ascii="Times New Roman" w:hAnsi="Times New Roman" w:eastAsia="Times New Roman" w:cs="Times New Roman"/>
          <w:i/>
          <w:color w:val="000000"/>
          <w:sz w:val="24"/>
        </w:rPr>
        <w:t>scikit-learn</w:t>
      </w:r>
      <w:r>
        <w:rPr>
          <w:rFonts w:ascii="Times New Roman" w:hAnsi="Times New Roman" w:eastAsia="Times New Roman" w:cs="Times New Roman"/>
          <w:color w:val="000000"/>
          <w:sz w:val="24"/>
        </w:rPr>
        <w:t>, version 1.9.0 [computer software]. https://doi.org/10.5281/zenodo.20510517</w:t>
      </w:r>
    </w:p>
    <w:p>
      <w:pPr>
        <w:pStyle w:val="ListBullet"/>
        <w:spacing w:line="480" w:lineRule="auto" w:after="0"/>
      </w:pPr>
      <w:r>
        <w:rPr>
          <w:rFonts w:ascii="Times New Roman" w:hAnsi="Times New Roman" w:eastAsia="Times New Roman" w:cs="Times New Roman"/>
          <w:color w:val="000000"/>
          <w:sz w:val="24"/>
        </w:rPr>
        <w:t xml:space="preserve">Gommers, R.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w:t>
      </w:r>
      <w:r>
        <w:rPr>
          <w:rFonts w:ascii="Times New Roman" w:hAnsi="Times New Roman" w:eastAsia="Times New Roman" w:cs="Times New Roman"/>
          <w:i/>
          <w:color w:val="000000"/>
          <w:sz w:val="24"/>
        </w:rPr>
        <w:t>SciPy</w:t>
      </w:r>
      <w:r>
        <w:rPr>
          <w:rFonts w:ascii="Times New Roman" w:hAnsi="Times New Roman" w:eastAsia="Times New Roman" w:cs="Times New Roman"/>
          <w:color w:val="000000"/>
          <w:sz w:val="24"/>
        </w:rPr>
        <w:t>, version 1.18.0 [computer software]. https://doi.org/10.5281/zenodo.20764140</w:t>
      </w:r>
    </w:p>
    <w:p>
      <w:pPr>
        <w:pStyle w:val="ListBullet"/>
        <w:spacing w:line="480" w:lineRule="auto" w:after="0"/>
      </w:pPr>
      <w:r>
        <w:rPr>
          <w:rFonts w:ascii="Times New Roman" w:hAnsi="Times New Roman" w:eastAsia="Times New Roman" w:cs="Times New Roman"/>
          <w:color w:val="000000"/>
          <w:sz w:val="24"/>
        </w:rPr>
        <w:t xml:space="preserve">The pandas development team (2026) </w:t>
      </w:r>
      <w:r>
        <w:rPr>
          <w:rFonts w:ascii="Times New Roman" w:hAnsi="Times New Roman" w:eastAsia="Times New Roman" w:cs="Times New Roman"/>
          <w:i/>
          <w:color w:val="000000"/>
          <w:sz w:val="24"/>
        </w:rPr>
        <w:t>pandas</w:t>
      </w:r>
      <w:r>
        <w:rPr>
          <w:rFonts w:ascii="Times New Roman" w:hAnsi="Times New Roman" w:eastAsia="Times New Roman" w:cs="Times New Roman"/>
          <w:color w:val="000000"/>
          <w:sz w:val="24"/>
        </w:rPr>
        <w:t>,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