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0"/>
        <w:jc w:val="center"/>
      </w:pPr>
      <w:r>
        <w:rPr>
          <w:rFonts w:ascii="Times New Roman" w:hAnsi="Times New Roman" w:eastAsia="Times New Roman" w:cs="Times New Roman"/>
          <w:b/>
          <w:color w:val="000000"/>
          <w:sz w:val="18"/>
        </w:rPr>
        <w:t>RESEARCH ARTICLE</w:t>
      </w:r>
    </w:p>
    <w:p>
      <w:pPr>
        <w:spacing w:after="480" w:line="252" w:lineRule="auto"/>
        <w:jc w:val="center"/>
      </w:pPr>
      <w:r>
        <w:rPr>
          <w:rFonts w:ascii="Times New Roman" w:hAnsi="Times New Roman" w:eastAsia="Times New Roman" w:cs="Times New Roman"/>
          <w:b/>
          <w:color w:val="000000"/>
          <w:sz w:val="38"/>
        </w:rPr>
        <w:t>Language, Reference, and Written Rhyme: Evidence‑Grounded Downstream Analysis of Chinese Rap Lyrics</w:t>
      </w:r>
    </w:p>
    <w:p>
      <w:pPr>
        <w:spacing w:line="276" w:lineRule="auto" w:after="100"/>
        <w:jc w:val="center"/>
      </w:pPr>
      <w:r>
        <w:rPr>
          <w:rFonts w:ascii="Times New Roman" w:hAnsi="Times New Roman" w:eastAsia="Times New Roman" w:cs="Times New Roman"/>
          <w:b/>
          <w:color w:val="000000"/>
          <w:sz w:val="22"/>
        </w:rPr>
        <w:t>[Author name(s)]</w:t>
      </w:r>
    </w:p>
    <w:p>
      <w:pPr>
        <w:spacing w:line="276" w:lineRule="auto" w:after="100"/>
        <w:jc w:val="center"/>
      </w:pPr>
      <w:r>
        <w:rPr>
          <w:rFonts w:ascii="Times New Roman" w:hAnsi="Times New Roman" w:eastAsia="Times New Roman" w:cs="Times New Roman"/>
          <w:b w:val="0"/>
          <w:color w:val="000000"/>
          <w:sz w:val="22"/>
        </w:rPr>
        <w:t>[Affiliation(s)]</w:t>
      </w:r>
    </w:p>
    <w:p>
      <w:pPr>
        <w:spacing w:line="276" w:lineRule="auto" w:after="100"/>
        <w:jc w:val="center"/>
      </w:pPr>
      <w:r>
        <w:rPr>
          <w:rFonts w:ascii="Times New Roman" w:hAnsi="Times New Roman" w:eastAsia="Times New Roman" w:cs="Times New Roman"/>
          <w:b w:val="0"/>
          <w:color w:val="000000"/>
          <w:sz w:val="22"/>
        </w:rPr>
        <w:t>[Corresponding author email]</w:t>
      </w:r>
      <w:r>
        <w:br w:type="page"/>
      </w:r>
    </w:p>
    <w:p>
      <w:pPr>
        <w:pStyle w:val="Heading1"/>
      </w:pPr>
      <w:r>
        <w:t>Structured Abstract</w:t>
      </w:r>
    </w:p>
    <w:p>
      <w:pPr>
        <w:widowControl/>
        <w:spacing w:line="480" w:lineRule="auto" w:after="0"/>
      </w:pPr>
      <w:r>
        <w:rPr>
          <w:rFonts w:ascii="Times New Roman" w:hAnsi="Times New Roman" w:eastAsia="Times New Roman" w:cs="Times New Roman"/>
          <w:b/>
          <w:color w:val="000000"/>
          <w:sz w:val="24"/>
        </w:rPr>
        <w:t>Purpose:</w:t>
      </w:r>
      <w:r>
        <w:rPr>
          <w:rFonts w:ascii="Times New Roman" w:hAnsi="Times New Roman" w:eastAsia="Times New Roman" w:cs="Times New Roman"/>
          <w:color w:val="000000"/>
          <w:sz w:val="24"/>
        </w:rPr>
        <w:t xml:space="preserve"> This study asks how Chinese rap lyrics form recognizable repertoires through language, cultural reference, and dictionary-estimated written rhyme, and how multilingual embeddings become evidence.</w:t>
      </w:r>
    </w:p>
    <w:p>
      <w:pPr>
        <w:widowControl/>
        <w:spacing w:line="480" w:lineRule="auto" w:after="0"/>
      </w:pPr>
      <w:r>
        <w:rPr>
          <w:rFonts w:ascii="Times New Roman" w:hAnsi="Times New Roman" w:eastAsia="Times New Roman" w:cs="Times New Roman"/>
          <w:b/>
          <w:color w:val="000000"/>
          <w:sz w:val="24"/>
        </w:rPr>
        <w:t>Design/methodology/approach:</w:t>
      </w:r>
      <w:r>
        <w:rPr>
          <w:rFonts w:ascii="Times New Roman" w:hAnsi="Times New Roman" w:eastAsia="Times New Roman" w:cs="Times New Roman"/>
          <w:color w:val="000000"/>
          <w:sz w:val="24"/>
        </w:rPr>
        <w:t xml:space="preserve"> Three downstream tasks are constructed from a frozen corpus: held-out-song source-label retrieval, provisional named-entity recognition (NER) with typed cultural networks, and song-held-out prediction of the next written-ending family. BGE-M3 is compared with character 2–5-gram term frequency–inverse document frequency (TF–IDF) and untuned fusion. Exact and near-duplicate text is grouped or excluded; uncertainty uses paired label/component or song-cluster bootstrap. NER associations add Jeffreys bounds and false-discovery-rate control; extraction accuracy awaits dual review.</w:t>
      </w:r>
    </w:p>
    <w:p>
      <w:pPr>
        <w:widowControl/>
        <w:spacing w:line="480" w:lineRule="auto" w:after="0"/>
      </w:pPr>
      <w:r>
        <w:rPr>
          <w:rFonts w:ascii="Times New Roman" w:hAnsi="Times New Roman" w:eastAsia="Times New Roman" w:cs="Times New Roman"/>
          <w:b/>
          <w:color w:val="000000"/>
          <w:sz w:val="24"/>
        </w:rPr>
        <w:t>Findings:</w:t>
      </w:r>
      <w:r>
        <w:rPr>
          <w:rFonts w:ascii="Times New Roman" w:hAnsi="Times New Roman" w:eastAsia="Times New Roman" w:cs="Times New Roman"/>
          <w:color w:val="000000"/>
          <w:sz w:val="24"/>
        </w:rPr>
        <w:t xml:space="preserve"> Dense–lexical fusion achieves macro mean reciprocal rank (MRR) 0.447 (95% confidence interval [CI] 0.414–0.481), exceeding TF–IDF by 0.031 (0.021–0.042); a sixfold training-only sensitivity preserves this advantage. Shared-text exclusion contracts the NER inventory from 33 to 22 provisional surfaces; six source-label/reference and four co-mention edges survive uncertainty and false-discovery-rate gates, but no precision, recall, or F1 score (the harmonic mean of precision and recall) is claimed. The written-ending context model reaches Top-3 0.695 (0.685–0.705), improving on Markov by 0.050 (0.044–0.055); source-label conditioning has no supported benefit.</w:t>
      </w:r>
    </w:p>
    <w:p>
      <w:pPr>
        <w:widowControl/>
        <w:spacing w:line="480" w:lineRule="auto" w:after="0"/>
      </w:pPr>
      <w:r>
        <w:rPr>
          <w:rFonts w:ascii="Times New Roman" w:hAnsi="Times New Roman" w:eastAsia="Times New Roman" w:cs="Times New Roman"/>
          <w:b/>
          <w:color w:val="000000"/>
          <w:sz w:val="24"/>
        </w:rPr>
        <w:t>Originality:</w:t>
      </w:r>
      <w:r>
        <w:rPr>
          <w:rFonts w:ascii="Times New Roman" w:hAnsi="Times New Roman" w:eastAsia="Times New Roman" w:cs="Times New Roman"/>
          <w:color w:val="000000"/>
          <w:sz w:val="24"/>
        </w:rPr>
        <w:t xml:space="preserve"> The study makes post-representation task design, leakage control, typed explanation, uncertainty, and abstention the analytical contribution.</w:t>
      </w:r>
    </w:p>
    <w:p>
      <w:pPr>
        <w:widowControl/>
        <w:spacing w:line="480" w:lineRule="auto" w:after="0"/>
      </w:pPr>
      <w:r>
        <w:rPr>
          <w:rFonts w:ascii="Times New Roman" w:hAnsi="Times New Roman" w:eastAsia="Times New Roman" w:cs="Times New Roman"/>
          <w:b/>
          <w:color w:val="000000"/>
          <w:sz w:val="24"/>
        </w:rPr>
        <w:t>Contribution to the field of Digital Humanities:</w:t>
      </w:r>
      <w:r>
        <w:rPr>
          <w:rFonts w:ascii="Times New Roman" w:hAnsi="Times New Roman" w:eastAsia="Times New Roman" w:cs="Times New Roman"/>
          <w:color w:val="000000"/>
          <w:sz w:val="24"/>
        </w:rPr>
        <w:t xml:space="preserve"> It supplies a reproducible framework for culturally situated lyric representations without publishing copyrighted lyrics or mistaking textual association for biography or social relation.</w:t>
      </w:r>
    </w:p>
    <w:p>
      <w:pPr>
        <w:widowControl/>
        <w:spacing w:line="480" w:lineRule="auto" w:after="0"/>
      </w:pPr>
      <w:r>
        <w:rPr>
          <w:rFonts w:ascii="Times New Roman" w:hAnsi="Times New Roman" w:eastAsia="Times New Roman" w:cs="Times New Roman"/>
          <w:color w:val="000000"/>
          <w:sz w:val="24"/>
        </w:rPr>
        <w:t>Keywords: Chinese rap; digital humanities; lyrics; information retrieval; BGE-M3; named entity recognition; cultural networks; written rhyme; uncertainty; abstention</w:t>
      </w:r>
    </w:p>
    <w:p>
      <w:pPr>
        <w:pStyle w:val="Heading1"/>
      </w:pPr>
      <w:r>
        <w:t>1. Introduction</w:t>
      </w:r>
    </w:p>
    <w:p>
      <w:pPr>
        <w:widowControl/>
        <w:spacing w:line="480" w:lineRule="auto" w:after="0"/>
      </w:pPr>
      <w:r>
        <w:rPr>
          <w:rFonts w:ascii="Times New Roman" w:hAnsi="Times New Roman" w:eastAsia="Times New Roman" w:cs="Times New Roman"/>
          <w:color w:val="000000"/>
          <w:sz w:val="24"/>
        </w:rPr>
        <w:t>A text embedding becomes cultural evidence only after researchers specify its task and test unit, compare simpler alternatives, control leakage, quantify uncertainty, and define abstention. An interactive map can otherwise imply a stable relation when proximity is repeated, unstable, or opaque, answering a question the method never posed.</w:t>
      </w:r>
    </w:p>
    <w:p>
      <w:pPr>
        <w:widowControl/>
        <w:spacing w:line="480" w:lineRule="auto" w:after="0"/>
        <w:ind w:firstLine="360"/>
      </w:pPr>
      <w:r>
        <w:rPr>
          <w:rFonts w:ascii="Times New Roman" w:hAnsi="Times New Roman" w:eastAsia="Times New Roman" w:cs="Times New Roman"/>
          <w:color w:val="000000"/>
          <w:sz w:val="24"/>
        </w:rPr>
        <w:t xml:space="preserve">Chinese rap makes this problem visible: Mandarin and English, cultural references, repeated hooks, non-standard spelling, line-final form, and ambiguous credit metadata coexist. No representation can safely collapse these signals into “style”. Topic and proper nouns can drive apparently stylistic discrimination (Sundararajan and Woodard 2018; Wang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so a source-label match may reflect subject matter, named worlds, repetition, or writing form rather than a personal essence.</w:t>
      </w:r>
    </w:p>
    <w:p>
      <w:pPr>
        <w:widowControl/>
        <w:spacing w:line="480" w:lineRule="auto" w:after="0"/>
        <w:ind w:firstLine="360"/>
      </w:pPr>
      <w:r>
        <w:rPr>
          <w:rFonts w:ascii="Times New Roman" w:hAnsi="Times New Roman" w:eastAsia="Times New Roman" w:cs="Times New Roman"/>
          <w:color w:val="000000"/>
          <w:sz w:val="24"/>
        </w:rPr>
        <w:t xml:space="preserve">We address this problem by organizing one corpus around a clear research theme: </w:t>
      </w:r>
      <w:r>
        <w:rPr>
          <w:rFonts w:ascii="Times New Roman" w:hAnsi="Times New Roman" w:eastAsia="Times New Roman" w:cs="Times New Roman"/>
          <w:b/>
          <w:color w:val="000000"/>
          <w:sz w:val="24"/>
        </w:rPr>
        <w:t>how do Chinese rap lyrics form recognizable lyrical identities through language, cultural reference, and dictionary-estimated written rhyme?</w:t>
      </w:r>
      <w:r>
        <w:rPr>
          <w:rFonts w:ascii="Times New Roman" w:hAnsi="Times New Roman" w:eastAsia="Times New Roman" w:cs="Times New Roman"/>
          <w:color w:val="000000"/>
          <w:sz w:val="24"/>
        </w:rPr>
        <w:t xml:space="preserve"> “Identity” here means an aggregate, corpus-relative profile attached to a source-credit label. It does not mean a verified person, biography, hometown, belief, affiliation, influence, friendship, or collaboration. We use </w:t>
      </w:r>
      <w:r>
        <w:rPr>
          <w:rFonts w:ascii="Times New Roman" w:hAnsi="Times New Roman" w:eastAsia="Times New Roman" w:cs="Times New Roman"/>
          <w:i/>
          <w:color w:val="000000"/>
          <w:sz w:val="24"/>
        </w:rPr>
        <w:t>lyrical repertoire</w:t>
      </w:r>
      <w:r>
        <w:rPr>
          <w:rFonts w:ascii="Times New Roman" w:hAnsi="Times New Roman" w:eastAsia="Times New Roman" w:cs="Times New Roman"/>
          <w:color w:val="000000"/>
          <w:sz w:val="24"/>
        </w:rPr>
        <w:t xml:space="preserve"> for this bounded object.</w:t>
      </w:r>
    </w:p>
    <w:p>
      <w:pPr>
        <w:widowControl/>
        <w:spacing w:line="480" w:lineRule="auto" w:after="0"/>
        <w:ind w:firstLine="360"/>
      </w:pPr>
      <w:r>
        <w:rPr>
          <w:rFonts w:ascii="Times New Roman" w:hAnsi="Times New Roman" w:eastAsia="Times New Roman" w:cs="Times New Roman"/>
          <w:color w:val="000000"/>
          <w:sz w:val="24"/>
        </w:rPr>
        <w:t>The article contributes three linked evaluations. Strict retrieval compares frozen BGE-M3, character 2–5-gram TF–IDF, and untuned fusion after query and duplicate removal. A Chinese-rap NER schema, two candidate baselines, an 800-occurrence review package, and a provisional typed network keep extraction accuracy withheld until review. A 17-class model predicts adjacent dictionary-estimated written endings, separates continuation from switching, tests source-label input, and supports validation-defined abstention.</w:t>
      </w:r>
    </w:p>
    <w:p>
      <w:pPr>
        <w:widowControl/>
        <w:spacing w:line="480" w:lineRule="auto" w:after="0"/>
        <w:ind w:firstLine="360"/>
      </w:pPr>
      <w:r>
        <w:rPr>
          <w:rFonts w:ascii="Times New Roman" w:hAnsi="Times New Roman" w:eastAsia="Times New Roman" w:cs="Times New Roman"/>
          <w:color w:val="000000"/>
          <w:sz w:val="24"/>
        </w:rPr>
        <w:t>Retrieval asks what a held-out song resembles; NER asks which named cultural worlds are referenced; written-ending prediction asks how line-final form changes. The companion interface exposes these outputs but does not substitute for the methods or evidence.</w:t>
      </w:r>
    </w:p>
    <w:p>
      <w:pPr>
        <w:widowControl/>
        <w:spacing w:line="480" w:lineRule="auto" w:after="0"/>
        <w:ind w:firstLine="360"/>
      </w:pPr>
      <w:r>
        <w:rPr>
          <w:rFonts w:ascii="Times New Roman" w:hAnsi="Times New Roman" w:eastAsia="Times New Roman" w:cs="Times New Roman"/>
          <w:color w:val="000000"/>
          <w:sz w:val="24"/>
        </w:rPr>
        <w:t>The research questions are:</w:t>
      </w:r>
    </w:p>
    <w:p>
      <w:pPr>
        <w:widowControl/>
        <w:spacing w:line="480" w:lineRule="auto" w:after="0"/>
        <w:ind w:firstLine="360"/>
      </w:pPr>
      <w:r>
        <w:rPr>
          <w:rFonts w:ascii="Times New Roman" w:hAnsi="Times New Roman" w:eastAsia="Times New Roman" w:cs="Times New Roman"/>
          <w:b/>
          <w:color w:val="000000"/>
          <w:sz w:val="24"/>
        </w:rPr>
        <w:t>RQ1.</w:t>
      </w:r>
      <w:r>
        <w:rPr>
          <w:rFonts w:ascii="Times New Roman" w:hAnsi="Times New Roman" w:eastAsia="Times New Roman" w:cs="Times New Roman"/>
          <w:color w:val="000000"/>
          <w:sz w:val="24"/>
        </w:rPr>
        <w:t xml:space="preserve"> Which representation best retrieves held-out source-label lyrical-repertoire evidence, and does dense–lexical fusion improve over either component under strict duplicate controls?</w:t>
      </w:r>
    </w:p>
    <w:p>
      <w:pPr>
        <w:widowControl/>
        <w:spacing w:line="480" w:lineRule="auto" w:after="0"/>
        <w:ind w:firstLine="360"/>
      </w:pPr>
      <w:r>
        <w:rPr>
          <w:rFonts w:ascii="Times New Roman" w:hAnsi="Times New Roman" w:eastAsia="Times New Roman" w:cs="Times New Roman"/>
          <w:b/>
          <w:color w:val="000000"/>
          <w:sz w:val="24"/>
        </w:rPr>
        <w:t>RQ2.</w:t>
      </w:r>
      <w:r>
        <w:rPr>
          <w:rFonts w:ascii="Times New Roman" w:hAnsi="Times New Roman" w:eastAsia="Times New Roman" w:cs="Times New Roman"/>
          <w:color w:val="000000"/>
          <w:sz w:val="24"/>
        </w:rPr>
        <w:t xml:space="preserve"> Which cultural references can presently be released without conflating automated agreement with human validity, and what annotation work is required before model-performance or network-centrality claims are justified?</w:t>
      </w:r>
    </w:p>
    <w:p>
      <w:pPr>
        <w:widowControl/>
        <w:spacing w:line="480" w:lineRule="auto" w:after="0"/>
        <w:ind w:firstLine="360"/>
      </w:pPr>
      <w:r>
        <w:rPr>
          <w:rFonts w:ascii="Times New Roman" w:hAnsi="Times New Roman" w:eastAsia="Times New Roman" w:cs="Times New Roman"/>
          <w:b/>
          <w:color w:val="000000"/>
          <w:sz w:val="24"/>
        </w:rPr>
        <w:t>RQ3.</w:t>
      </w:r>
      <w:r>
        <w:rPr>
          <w:rFonts w:ascii="Times New Roman" w:hAnsi="Times New Roman" w:eastAsia="Times New Roman" w:cs="Times New Roman"/>
          <w:color w:val="000000"/>
          <w:sz w:val="24"/>
        </w:rPr>
        <w:t xml:space="preserve"> How predictable is the next dictionary-estimated written-ending family, what sequential context improves on global-frequency and first-order-transition baselines, does source-label conditioning add predictive value, and how does abstention change reliability?</w:t>
      </w:r>
    </w:p>
    <w:p>
      <w:pPr>
        <w:widowControl/>
        <w:spacing w:line="480" w:lineRule="auto" w:after="0"/>
        <w:ind w:firstLine="360"/>
      </w:pPr>
      <w:r>
        <w:rPr>
          <w:rFonts w:ascii="Times New Roman" w:hAnsi="Times New Roman" w:eastAsia="Times New Roman" w:cs="Times New Roman"/>
          <w:b/>
          <w:color w:val="000000"/>
          <w:sz w:val="24"/>
        </w:rPr>
        <w:t>RQ4.</w:t>
      </w:r>
      <w:r>
        <w:rPr>
          <w:rFonts w:ascii="Times New Roman" w:hAnsi="Times New Roman" w:eastAsia="Times New Roman" w:cs="Times New Roman"/>
          <w:color w:val="000000"/>
          <w:sz w:val="24"/>
        </w:rPr>
        <w:t xml:space="preserve"> As a methodological design synthesis, how can meaning, reference, and written form be joined into evidence-graded source-label profiles without turning textual association into claims about real-world persons or relationships?</w:t>
      </w:r>
    </w:p>
    <w:p>
      <w:pPr>
        <w:widowControl/>
        <w:spacing w:line="480" w:lineRule="auto" w:after="0"/>
        <w:ind w:firstLine="360"/>
      </w:pPr>
      <w:r>
        <w:rPr>
          <w:rFonts w:ascii="Times New Roman" w:hAnsi="Times New Roman" w:eastAsia="Times New Roman" w:cs="Times New Roman"/>
          <w:color w:val="000000"/>
          <w:sz w:val="24"/>
        </w:rPr>
        <w:t xml:space="preserve">The central argument is methodological: </w:t>
      </w:r>
      <w:r>
        <w:rPr>
          <w:rFonts w:ascii="Times New Roman" w:hAnsi="Times New Roman" w:eastAsia="Times New Roman" w:cs="Times New Roman"/>
          <w:b/>
          <w:color w:val="000000"/>
          <w:sz w:val="24"/>
        </w:rPr>
        <w:t>representation → downstream task → leakage control → evaluation → explanation → abstention</w:t>
      </w:r>
      <w:r>
        <w:rPr>
          <w:rFonts w:ascii="Times New Roman" w:hAnsi="Times New Roman" w:eastAsia="Times New Roman" w:cs="Times New Roman"/>
          <w:color w:val="000000"/>
          <w:sz w:val="24"/>
        </w:rPr>
        <w:t>. The value of BGE-M3 in this project is determined by what happens after embedding, not by the existence of the vectors or the model's published benchmarks.</w:t>
      </w:r>
    </w:p>
    <w:p>
      <w:pPr>
        <w:pStyle w:val="Heading1"/>
      </w:pPr>
      <w:r>
        <w:t>2. Related Work and Analytical Position</w:t>
      </w:r>
    </w:p>
    <w:p>
      <w:pPr>
        <w:pStyle w:val="Heading2"/>
      </w:pPr>
      <w:r>
        <w:t>2.1 Chinese Rap as Situated Repertoire</w:t>
      </w:r>
    </w:p>
    <w:p>
      <w:pPr>
        <w:widowControl/>
        <w:spacing w:line="480" w:lineRule="auto" w:after="0"/>
      </w:pPr>
      <w:r>
        <w:rPr>
          <w:rFonts w:ascii="Times New Roman" w:hAnsi="Times New Roman" w:eastAsia="Times New Roman" w:cs="Times New Roman"/>
          <w:color w:val="000000"/>
          <w:sz w:val="24"/>
        </w:rPr>
        <w:t xml:space="preserve">Ethnographic and lyric-centered studies show Chinese performers reworking global hip-hop through regional language, Putonghua, English, slang, local knowledge, and place (Barrett 2012; Wang 2013; Liu 2014). Work on Higher Brothers separates written multilingual material from the vocal intelligibility and production through which identities are negotiated (Liu 2021). These studies motivate </w:t>
      </w:r>
      <w:r>
        <w:rPr>
          <w:rFonts w:ascii="Times New Roman" w:hAnsi="Times New Roman" w:eastAsia="Times New Roman" w:cs="Times New Roman"/>
          <w:i/>
          <w:color w:val="000000"/>
          <w:sz w:val="24"/>
        </w:rPr>
        <w:t>lyrical repertoire</w:t>
      </w:r>
      <w:r>
        <w:rPr>
          <w:rFonts w:ascii="Times New Roman" w:hAnsi="Times New Roman" w:eastAsia="Times New Roman" w:cs="Times New Roman"/>
          <w:color w:val="000000"/>
          <w:sz w:val="24"/>
        </w:rPr>
        <w:t xml:space="preserve"> as situated corpus evidence, not an authenticity score or fixed identity inferred from text.</w:t>
      </w:r>
    </w:p>
    <w:p>
      <w:pPr>
        <w:widowControl/>
        <w:spacing w:line="480" w:lineRule="auto" w:after="0"/>
        <w:ind w:firstLine="360"/>
      </w:pPr>
      <w:r>
        <w:rPr>
          <w:rFonts w:ascii="Times New Roman" w:hAnsi="Times New Roman" w:eastAsia="Times New Roman" w:cs="Times New Roman"/>
          <w:color w:val="000000"/>
          <w:sz w:val="24"/>
        </w:rPr>
        <w:t>Named places and objects can also participate in stylized persona construction, but only together with stance and performance context (Baioud 2024). A corpus-level place association is therefore culturally relevant without being biographical: it can show that retained lyrics invoke a place more than expected, not that a credited source lives there, belongs there, or has a social relationship with another source.</w:t>
      </w:r>
    </w:p>
    <w:p>
      <w:pPr>
        <w:pStyle w:val="Heading2"/>
      </w:pPr>
      <w:r>
        <w:t>2.2 Representation Is Not Style</w:t>
      </w:r>
    </w:p>
    <w:p>
      <w:pPr>
        <w:widowControl/>
        <w:spacing w:line="480" w:lineRule="auto" w:after="0"/>
      </w:pPr>
      <w:r>
        <w:rPr>
          <w:rFonts w:ascii="Times New Roman" w:hAnsi="Times New Roman" w:eastAsia="Times New Roman" w:cs="Times New Roman"/>
          <w:color w:val="000000"/>
          <w:sz w:val="24"/>
        </w:rPr>
        <w:t xml:space="preserve">BGE-M3 supports multilingual, multi-function, multi-granularity retrieval and dense representation of variable-length mixed-language passages (Chen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This makes it plausible for Chinese–English lyrics but does not validate it on Chinese rap: broad retrieval signals may help find related text without isolating artistic style.</w:t>
      </w:r>
    </w:p>
    <w:p>
      <w:pPr>
        <w:widowControl/>
        <w:spacing w:line="480" w:lineRule="auto" w:after="0"/>
        <w:ind w:firstLine="360"/>
      </w:pPr>
      <w:r>
        <w:rPr>
          <w:rFonts w:ascii="Times New Roman" w:hAnsi="Times New Roman" w:eastAsia="Times New Roman" w:cs="Times New Roman"/>
          <w:color w:val="000000"/>
          <w:sz w:val="24"/>
        </w:rPr>
        <w:t xml:space="preserve">Authorship research shows that common and proper nouns affect attribution and that prediction does not establish style–content disentanglement (Sundararajan and Woodard 2018; Wang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We therefore test </w:t>
      </w:r>
      <w:r>
        <w:rPr>
          <w:rFonts w:ascii="Times New Roman" w:hAnsi="Times New Roman" w:eastAsia="Times New Roman" w:cs="Times New Roman"/>
          <w:i/>
          <w:color w:val="000000"/>
          <w:sz w:val="24"/>
        </w:rPr>
        <w:t>lyrical-repertoire retrieval</w:t>
      </w:r>
      <w:r>
        <w:rPr>
          <w:rFonts w:ascii="Times New Roman" w:hAnsi="Times New Roman" w:eastAsia="Times New Roman" w:cs="Times New Roman"/>
          <w:color w:val="000000"/>
          <w:sz w:val="24"/>
        </w:rPr>
        <w:t>, not “rapper identification”, against a strong surface-form baseline and interpret fusion as complementarity rather than isolated style.</w:t>
      </w:r>
    </w:p>
    <w:p>
      <w:pPr>
        <w:pStyle w:val="Heading2"/>
      </w:pPr>
      <w:r>
        <w:t>2.3 Named Entities and Cultural Networks in New Domains</w:t>
      </w:r>
    </w:p>
    <w:p>
      <w:pPr>
        <w:widowControl/>
        <w:spacing w:line="480" w:lineRule="auto" w:after="0"/>
      </w:pPr>
      <w:r>
        <w:rPr>
          <w:rFonts w:ascii="Times New Roman" w:hAnsi="Times New Roman" w:eastAsia="Times New Roman" w:cs="Times New Roman"/>
          <w:color w:val="000000"/>
          <w:sz w:val="24"/>
        </w:rPr>
        <w:t xml:space="preserve">Chinese NER is domain- and annotation-sensitive; edited-text models cannot be assumed to transfer to informal language (Peng and Dredze 2015). FLAT combines character and word information (Li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2020), while distant-supervision work shows that dictionary matches are noisy, not gold (Yang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2018). Domain corpora require explicit annotation-quality reporting (Jiang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2022).</w:t>
      </w:r>
    </w:p>
    <w:p>
      <w:pPr>
        <w:widowControl/>
        <w:spacing w:line="480" w:lineRule="auto" w:after="0"/>
        <w:ind w:firstLine="360"/>
      </w:pPr>
      <w:r>
        <w:rPr>
          <w:rFonts w:ascii="Times New Roman" w:hAnsi="Times New Roman" w:eastAsia="Times New Roman" w:cs="Times New Roman"/>
          <w:color w:val="000000"/>
          <w:sz w:val="24"/>
        </w:rPr>
        <w:t xml:space="preserve">Unequal NER error can distort cultural visibility (Lassen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Literary-network nodes, windows, and relations must follow the question, and co-occurrence differs from embedding similarity (Blessing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2017; Rafaeli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2026). Because language, place, stylization, and performance localize Chinese-rap repertoires (Liu 2014; Baioud 2024), we separate source-label/reference from same-song co-mention edges and call neither social nor biographical.</w:t>
      </w:r>
    </w:p>
    <w:p>
      <w:pPr>
        <w:pStyle w:val="Heading2"/>
      </w:pPr>
      <w:r>
        <w:t>2.4 Rhyme as Text-Derived and Performance-Sensitive Evidence</w:t>
      </w:r>
    </w:p>
    <w:p>
      <w:pPr>
        <w:widowControl/>
        <w:spacing w:line="480" w:lineRule="auto" w:after="0"/>
      </w:pPr>
      <w:r>
        <w:rPr>
          <w:rFonts w:ascii="Times New Roman" w:hAnsi="Times New Roman" w:eastAsia="Times New Roman" w:cs="Times New Roman"/>
          <w:color w:val="000000"/>
          <w:sz w:val="24"/>
        </w:rPr>
        <w:t xml:space="preserve">Computational work models phonetic, imperfect, internal, and artist-level rhyme (Hirjee and Brown 2009). DeepRapper represents rhyme with beat symbols (Xue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2021), while SongRewriter uses vowel modeling and decoding constraints (Sun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A text-only Chinese-rap target must remain narrower: multimodal persona, regional or Chinese–English realization, and audio flow exceed fixed pinyin classes (Lin and Wang 2024; Wang and Lin 2024; Liu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Without aligned audio, we cannot observe performed pronunciation, stress, rhythm, cadence, beat, or delivery; the target is a </w:t>
      </w:r>
      <w:r>
        <w:rPr>
          <w:rFonts w:ascii="Times New Roman" w:hAnsi="Times New Roman" w:eastAsia="Times New Roman" w:cs="Times New Roman"/>
          <w:b/>
          <w:color w:val="000000"/>
          <w:sz w:val="24"/>
        </w:rPr>
        <w:t>dictionary-estimated written-ending family</w:t>
      </w:r>
      <w:r>
        <w:rPr>
          <w:rFonts w:ascii="Times New Roman" w:hAnsi="Times New Roman" w:eastAsia="Times New Roman" w:cs="Times New Roman"/>
          <w:color w:val="000000"/>
          <w:sz w:val="24"/>
        </w:rPr>
        <w:t>.</w:t>
      </w:r>
    </w:p>
    <w:p>
      <w:pPr>
        <w:pStyle w:val="Heading1"/>
      </w:pPr>
      <w:r>
        <w:t>3. Corpus, Cleaning, and Evidence Boundary</w:t>
      </w:r>
    </w:p>
    <w:p>
      <w:pPr>
        <w:widowControl/>
        <w:spacing w:line="480" w:lineRule="auto" w:after="0"/>
      </w:pPr>
      <w:r>
        <w:rPr>
          <w:rFonts w:ascii="Times New Roman" w:hAnsi="Times New Roman" w:eastAsia="Times New Roman" w:cs="Times New Roman"/>
          <w:color w:val="000000"/>
          <w:sz w:val="24"/>
        </w:rPr>
        <w:t>The frozen private snapshot contains 7,211 songs and 22,128 lyric chunks. Deterministic metadata and text gates reconcile every canonical key to a clean-text sidecar, retain 21,553 eligible chunks, and withhold 575 metadata-only chunks. Analyses preserve one song record, split before expanding to chunks, lines, or entity occurrences, and keep identical-content groups within one partition or exclude cross-partition copies; 405 exact groups span 921 songs. Missing or doubtful metadata are never guessed.</w:t>
      </w:r>
    </w:p>
    <w:p>
      <w:pPr>
        <w:widowControl/>
        <w:spacing w:line="480" w:lineRule="auto" w:after="0"/>
        <w:ind w:firstLine="360"/>
      </w:pPr>
      <w:r>
        <w:rPr>
          <w:rFonts w:ascii="Times New Roman" w:hAnsi="Times New Roman" w:eastAsia="Times New Roman" w:cs="Times New Roman"/>
          <w:color w:val="000000"/>
          <w:sz w:val="24"/>
        </w:rPr>
        <w:t>PD-002 reconstructed the legacy cleaner: artist/text deduplication removed 2,894 chunks and 177 song IDs; 131 meet a conservative duplicate-record rule and 46 require review. The live Drive sheet matched 26,833 keys; all 33 substantive cell differences were adjudicated. Canonical gates explain 7,214/22,132 upstream versus 7,211/22,128 analyzed. Results remain snapshot-conditional.</w:t>
      </w:r>
    </w:p>
    <w:p>
      <w:pPr>
        <w:widowControl/>
        <w:spacing w:line="480" w:lineRule="auto" w:after="0"/>
        <w:ind w:firstLine="360"/>
      </w:pPr>
      <w:r>
        <w:rPr>
          <w:rFonts w:ascii="Times New Roman" w:hAnsi="Times New Roman" w:eastAsia="Times New Roman" w:cs="Times New Roman"/>
          <w:color w:val="000000"/>
          <w:sz w:val="24"/>
        </w:rPr>
        <w:t>The export is a convenience snapshot rather than a census. It lacks stable per-track identifiers and verified records for source platforms, acquisition dates, temporal coverage, sampling, transcription origin, and rights or ethics basis. Those owner-supplied facts remain required; none is inferred from lyrics or filenames. Full reconciliation, exception totals, and checksums appear in the public supplement.</w:t>
      </w:r>
    </w:p>
    <w:p>
      <w:pPr>
        <w:widowControl/>
        <w:spacing w:line="480" w:lineRule="auto" w:after="0"/>
        <w:ind w:firstLine="360"/>
      </w:pPr>
      <w:r>
        <w:rPr>
          <w:rFonts w:ascii="Times New Roman" w:hAnsi="Times New Roman" w:eastAsia="Times New Roman" w:cs="Times New Roman"/>
          <w:color w:val="000000"/>
          <w:sz w:val="24"/>
        </w:rPr>
        <w:t>The source-credit label is corpus provenance, not verified identity; the study does not attempt global person resolution. Retrieval predicts that label, NER identifies lyric-reference surfaces, and rhyme fingerprints summarize label-attached lines. The public release excludes lyric text, full lines, song/chunk identifiers, membership rows, row-level lyric-content hashes, embeddings, and reviewer contexts. File-level checksums remain as non-content integrity metadata.</w:t>
      </w:r>
    </w:p>
    <w:p>
      <w:pPr>
        <w:widowControl/>
        <w:spacing w:line="480" w:lineRule="auto" w:after="0"/>
        <w:ind w:firstLine="360"/>
      </w:pPr>
      <w:r>
        <w:rPr>
          <w:rFonts w:ascii="Times New Roman" w:hAnsi="Times New Roman" w:eastAsia="Times New Roman" w:cs="Times New Roman"/>
          <w:color w:val="000000"/>
          <w:sz w:val="24"/>
        </w:rPr>
        <w:t>Table 1 summarizes the populations. Individual tasks apply stricter eligibility rules, so their denominators differ.</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05"/>
        <w:gridCol w:w="2527"/>
        <w:gridCol w:w="2528"/>
      </w:tblGrid>
      <w:tr>
        <w:trPr>
          <w:cantSplit/>
          <w:tblHeader w:val="true"/>
        </w:trPr>
        <w:tc>
          <w:tcPr>
            <w:tcW w:type="dxa" w:w="430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Population</w:t>
            </w:r>
          </w:p>
        </w:tc>
        <w:tc>
          <w:tcPr>
            <w:tcW w:type="dxa" w:w="252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Count</w:t>
            </w:r>
          </w:p>
        </w:tc>
        <w:tc>
          <w:tcPr>
            <w:tcW w:type="dxa" w:w="252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Role</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Canonical songs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7,211</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Frozen song grain</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Canonical / sidecar lyric chunks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22,128</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Frozen chunk grain; exact key reconciliation</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Eligible clean-text chunks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21,553</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Model-eligible text</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Withheld metadata-only chunks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575</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Not analyzed as lyrics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Source-credit labels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241</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Corpus provenance labels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Labels with at least five songs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226</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Support audit</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Exact song-content groups spanning multiple songs</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405 (921 songs)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Duplicate/leakage constraint</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Graph-eligible labels used in all three downstream tasks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204</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Fixed comparison frame</w:t>
            </w:r>
          </w:p>
        </w:tc>
      </w:tr>
    </w:tbl>
    <w:p>
      <w:pPr>
        <w:spacing w:after="20" w:line="240" w:lineRule="auto"/>
      </w:pPr>
    </w:p>
    <w:p>
      <w:pPr>
        <w:pStyle w:val="Caption"/>
        <w:keepNext w:val="0"/>
      </w:pPr>
      <w:r>
        <w:rPr>
          <w:rFonts w:ascii="Times New Roman" w:hAnsi="Times New Roman" w:eastAsia="Times New Roman" w:cs="Times New Roman"/>
          <w:color w:val="000000"/>
          <w:sz w:val="20"/>
        </w:rPr>
        <w:t>Table 1 Frozen corpus and downstream comparison populations</w:t>
      </w:r>
    </w:p>
    <w:p>
      <w:pPr>
        <w:pStyle w:val="Heading1"/>
      </w:pPr>
      <w:r>
        <w:t>4. Shared Representation and Experimental Design</w:t>
      </w:r>
    </w:p>
    <w:p>
      <w:pPr>
        <w:pStyle w:val="Heading2"/>
      </w:pPr>
      <w:r>
        <w:t>4.1 Why BGE-M3, and What Is Frozen</w:t>
      </w:r>
    </w:p>
    <w:p>
      <w:pPr>
        <w:widowControl/>
        <w:spacing w:line="480" w:lineRule="auto" w:after="0"/>
      </w:pPr>
      <w:r>
        <w:rPr>
          <w:rFonts w:ascii="Times New Roman" w:hAnsi="Times New Roman" w:eastAsia="Times New Roman" w:cs="Times New Roman"/>
          <w:color w:val="000000"/>
          <w:sz w:val="24"/>
        </w:rPr>
        <w:t xml:space="preserve">BGE-M3 is selected because the primarily Chinese corpus contains mixed-script passages, chunk lengths vary, and the model is designed for retrieval. We use only its dense head. </w:t>
      </w:r>
      <w:r>
        <w:rPr>
          <w:rFonts w:ascii="Courier New" w:hAnsi="Courier New" w:eastAsia="Courier New" w:cs="Courier New"/>
          <w:color w:val="000000"/>
          <w:sz w:val="23"/>
        </w:rPr>
        <w:t>FlagEmbedding.BGEM3FlagModel</w:t>
      </w:r>
      <w:r>
        <w:rPr>
          <w:rFonts w:ascii="Times New Roman" w:hAnsi="Times New Roman" w:eastAsia="Times New Roman" w:cs="Times New Roman"/>
          <w:color w:val="000000"/>
          <w:sz w:val="24"/>
        </w:rPr>
        <w:t xml:space="preserve"> generated vectors offline from pinned </w:t>
      </w:r>
      <w:r>
        <w:rPr>
          <w:rFonts w:ascii="Courier New" w:hAnsi="Courier New" w:eastAsia="Courier New" w:cs="Courier New"/>
          <w:color w:val="000000"/>
          <w:sz w:val="23"/>
        </w:rPr>
        <w:t>BAAI/bge-m3</w:t>
      </w:r>
      <w:r>
        <w:rPr>
          <w:rFonts w:ascii="Times New Roman" w:hAnsi="Times New Roman" w:eastAsia="Times New Roman" w:cs="Times New Roman"/>
          <w:color w:val="000000"/>
          <w:sz w:val="24"/>
        </w:rPr>
        <w:t xml:space="preserve"> revision </w:t>
      </w:r>
      <w:r>
        <w:rPr>
          <w:rFonts w:ascii="Courier New" w:hAnsi="Courier New" w:eastAsia="Courier New" w:cs="Courier New"/>
          <w:color w:val="000000"/>
          <w:sz w:val="23"/>
        </w:rPr>
        <w:t>5617a9f61b028005a4858fdac845db406aefb181</w:t>
      </w:r>
      <w:r>
        <w:rPr>
          <w:rFonts w:ascii="Times New Roman" w:hAnsi="Times New Roman" w:eastAsia="Times New Roman" w:cs="Times New Roman"/>
          <w:color w:val="000000"/>
          <w:sz w:val="24"/>
        </w:rPr>
        <w:t xml:space="preserve">, using FlagEmbedding 1.4.0, maximum length 2,048, batch size two, 1,024 dimensions, and L2 normalization (Chen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The embedding contract records checkpoint, configuration, row-map, and vector hashes. Supplementary Table S1 records the exact stack; historical device and realized mixed precision were not captured and are not retrospectively asserted.</w:t>
      </w:r>
    </w:p>
    <w:p>
      <w:pPr>
        <w:widowControl/>
        <w:spacing w:line="480" w:lineRule="auto" w:after="0"/>
        <w:ind w:firstLine="360"/>
      </w:pPr>
      <w:r>
        <w:rPr>
          <w:rFonts w:ascii="Times New Roman" w:hAnsi="Times New Roman" w:eastAsia="Times New Roman" w:cs="Times New Roman"/>
          <w:color w:val="000000"/>
          <w:sz w:val="24"/>
        </w:rPr>
        <w:t>The checkpoint is not fine-tuned on the corpus and its published benchmark performance is not imported as evidence. Instead, the vectors enter a downstream retrieval design with an explicit target, baseline, denominator, and uncertainty. This matters because a broadly capable multilingual encoder can still be weaker than character-form matching for a particular corpus-internal task.</w:t>
      </w:r>
    </w:p>
    <w:p>
      <w:pPr>
        <w:pStyle w:val="Heading2"/>
      </w:pPr>
      <w:r>
        <w:t>4.2 Units, Duplicate Components, and Fitting Boundaries</w:t>
      </w:r>
    </w:p>
    <w:p>
      <w:pPr>
        <w:widowControl/>
        <w:spacing w:line="480" w:lineRule="auto" w:after="0"/>
      </w:pPr>
      <w:r>
        <w:rPr>
          <w:rFonts w:ascii="Times New Roman" w:hAnsi="Times New Roman" w:eastAsia="Times New Roman" w:cs="Times New Roman"/>
          <w:color w:val="000000"/>
          <w:sz w:val="24"/>
        </w:rPr>
        <w:t>All evaluation is song-aware. Retrieval holds out the complete song and any detected variants from every affected repertoire profile. Rhyme modeling assigns songs globally to train, validation, and test before line events are constructed. NER candidates are aggregated by duplicate-controlled full-song lyric-content units; its future gold split is also specified at song level.</w:t>
      </w:r>
    </w:p>
    <w:p>
      <w:pPr>
        <w:widowControl/>
        <w:spacing w:line="480" w:lineRule="auto" w:after="0"/>
        <w:ind w:firstLine="360"/>
      </w:pPr>
      <w:r>
        <w:rPr>
          <w:rFonts w:ascii="Times New Roman" w:hAnsi="Times New Roman" w:eastAsia="Times New Roman" w:cs="Times New Roman"/>
          <w:color w:val="000000"/>
          <w:sz w:val="24"/>
        </w:rPr>
        <w:t>Two normalization levels are used for leakage checks. Exact clean-text hashes catch identical chunks. For whole songs or written lines, NFKC-normalized, case-folded text with punctuation and spaces removed is represented as a character-trigram set. Candidate pairs with Jaccard similarity at least 0.80 are treated as near duplicates after exact verification of the set overlap. Connected items form one duplicate component. Where repeated variants remain inside a repertoire, the component receives total weight one so copies cannot dominate an aggregate.</w:t>
      </w:r>
    </w:p>
    <w:p>
      <w:pPr>
        <w:widowControl/>
        <w:spacing w:line="480" w:lineRule="auto" w:after="0"/>
        <w:ind w:firstLine="360"/>
      </w:pPr>
      <w:r>
        <w:rPr>
          <w:rFonts w:ascii="Times New Roman" w:hAnsi="Times New Roman" w:eastAsia="Times New Roman" w:cs="Times New Roman"/>
          <w:color w:val="000000"/>
          <w:sz w:val="24"/>
        </w:rPr>
        <w:t>Fitting and selection follow the task. BGE-M3 is frozen. Retrieval TF–IDF is transductive: vocabulary and inverse document frequencies are estimated on the fixed unlabeled evaluation corpus, never using source labels, and the label profiles remain group-held-out. Fusion weight is not tuned. Rhyme vocabularies, priors, classifiers, regularization, and abstention thresholds are learned from train or validation only; test is used once for final evaluation. The NER transformer is pinned and not trained on the corpus, while release thresholds are reproducibility gates rather than learned claims of correctness.</w:t>
      </w:r>
    </w:p>
    <w:p>
      <w:pPr>
        <w:widowControl/>
        <w:spacing w:line="480" w:lineRule="auto" w:after="0"/>
        <w:ind w:firstLine="360"/>
      </w:pPr>
      <w:r>
        <w:rPr>
          <w:rFonts w:ascii="Times New Roman" w:hAnsi="Times New Roman" w:eastAsia="Times New Roman" w:cs="Times New Roman"/>
          <w:color w:val="000000"/>
          <w:sz w:val="24"/>
        </w:rPr>
        <w:t>The implementation amends the frozen plan's generic train-only vectorizer rule. PD-001 records that character TF–IDF was estimated transductively on the fixed unlabeled corpus; the original contract remains preserved. Labels, relevance, and outcomes never enter vocabulary, inverse-document-frequency, profile, or fusion-weight selection, but query text influences corpuswide vocabulary and IDF. The estimand is fixed-corpus leave-one-song-out repertoire retrieval, not deployment to a future corpus. The departure is reported rather than retrospectively rewritten.</w:t>
      </w:r>
    </w:p>
    <w:p>
      <w:pPr>
        <w:widowControl/>
        <w:spacing w:line="480" w:lineRule="auto" w:after="0"/>
        <w:ind w:firstLine="360"/>
      </w:pPr>
      <w:r>
        <w:rPr>
          <w:rFonts w:ascii="Times New Roman" w:hAnsi="Times New Roman" w:eastAsia="Times New Roman" w:cs="Times New Roman"/>
          <w:color w:val="000000"/>
          <w:sz w:val="24"/>
        </w:rPr>
        <w:t>A sixfold sensitivity analysis fits the same TF–IDF specification only on training-fold texts and compares it with a matched all-corpus fit while holding duplicate-component folds and label profiles fixed (Supplementary Methods S2).</w:t>
      </w:r>
    </w:p>
    <w:p>
      <w:pPr>
        <w:pStyle w:val="Heading2"/>
      </w:pPr>
      <w:r>
        <w:t>4.3 Metrics and Uncertainty</w:t>
      </w:r>
    </w:p>
    <w:p>
      <w:pPr>
        <w:widowControl/>
        <w:spacing w:line="480" w:lineRule="auto" w:after="0"/>
      </w:pPr>
      <w:r>
        <w:rPr>
          <w:rFonts w:ascii="Times New Roman" w:hAnsi="Times New Roman" w:eastAsia="Times New Roman" w:cs="Times New Roman"/>
          <w:color w:val="000000"/>
          <w:sz w:val="24"/>
        </w:rPr>
        <w:t>Each result names its inferential unit. Retrieval has one relevant source label per query and reports reciprocal rank, Recall@1/5/10, and normalized discounted cumulative gain at rank 10 (nDCG@10). Its primary estimates are duplicate-component-adjusted macro means across source labels, preventing high-volume labels from determining the conclusion. A paired two-stage bootstrap uses 5,000 fixed-seed replicates. Each replicate samples 204 source-label occurrences with replacement and then independently resamples that occurrence's duplicate components; a label selected twice therefore receives two independent inner draws. The same component draw indexes every system and metric, preserving pairing for model differences (Savoy 1997).</w:t>
      </w:r>
    </w:p>
    <w:p>
      <w:pPr>
        <w:widowControl/>
        <w:spacing w:line="480" w:lineRule="auto" w:after="0"/>
        <w:ind w:firstLine="360"/>
      </w:pPr>
      <w:r>
        <w:rPr>
          <w:rFonts w:ascii="Times New Roman" w:hAnsi="Times New Roman" w:eastAsia="Times New Roman" w:cs="Times New Roman"/>
          <w:color w:val="000000"/>
          <w:sz w:val="24"/>
        </w:rPr>
        <w:t>Rhyme prediction reports top-1/3/5 accuracy, mean reciprocal rank (MRR), negative log likelihood (NLL), ten-bin expected calibration error (ECE), and coverage. Its 95% intervals use 2,000 resamples of test songs, preserving dependence among lines from the same song. Paired model differences reuse the same song-cluster resamples. Per-label macro results require at least 20 leakage-safe test events.</w:t>
      </w:r>
    </w:p>
    <w:p>
      <w:pPr>
        <w:widowControl/>
        <w:spacing w:line="480" w:lineRule="auto" w:after="0"/>
        <w:ind w:firstLine="360"/>
      </w:pPr>
      <w:r>
        <w:rPr>
          <w:rFonts w:ascii="Times New Roman" w:hAnsi="Times New Roman" w:eastAsia="Times New Roman" w:cs="Times New Roman"/>
          <w:color w:val="000000"/>
          <w:sz w:val="24"/>
        </w:rPr>
        <w:t>The NER extraction layer reports counts and cross-method candidate agreement only. Without adjudicated occurrence truth, agreement is not precision, recall, or an F1 score. The downstream network is evaluated separately: source-label/reference rates receive Jeffreys intervals and all tested label/entity pairs are controlled by Benjamini–Hochberg false-discovery-rate (FDR) correction; co-mentions use hypergeometric tests and a separate FDR family. These intervals quantify fixed-corpus song-unit association, not entity-extraction accuracy or external-population generalization.</w:t>
      </w:r>
    </w:p>
    <w:p>
      <w:pPr>
        <w:widowControl/>
        <w:spacing w:line="480" w:lineRule="auto" w:after="0"/>
        <w:ind w:firstLine="360"/>
      </w:pPr>
      <w:r>
        <w:rPr>
          <w:rFonts w:ascii="Times New Roman" w:hAnsi="Times New Roman" w:eastAsia="Times New Roman" w:cs="Times New Roman"/>
          <w:color w:val="000000"/>
          <w:sz w:val="24"/>
        </w:rPr>
        <w:t>Fig. 1 summarizes the common evidence controls and the task-specific estimands and claim boundaries.</w:t>
      </w:r>
    </w:p>
    <w:p>
      <w:pPr>
        <w:pStyle w:val="Heading1"/>
      </w:pPr>
      <w:r>
        <w:t>5. Downstream Task 1: Explainable Lyrical-Repertoire Retrieval</w:t>
      </w:r>
    </w:p>
    <w:p>
      <w:pPr>
        <w:pStyle w:val="Heading2"/>
      </w:pPr>
      <w:r>
        <w:t>5.1 Task Construction</w:t>
      </w:r>
    </w:p>
    <w:p>
      <w:pPr>
        <w:widowControl/>
        <w:spacing w:line="480" w:lineRule="auto" w:after="0"/>
      </w:pPr>
      <w:r>
        <w:rPr>
          <w:rFonts w:ascii="Times New Roman" w:hAnsi="Times New Roman" w:eastAsia="Times New Roman" w:cs="Times New Roman"/>
          <w:color w:val="000000"/>
          <w:sz w:val="24"/>
        </w:rPr>
        <w:t>For each eligible song q, the task ranks the 204 candidate source-credit labels and asks where the song's observed label appears. The query is the complete song assembled from eligible clean chunks after exact text shared across labels has been removed. It must contain at least 50 NFKC-normalized alphanumeric characters. The final strict population contains 5,455 song queries forming 5,430 independent exact/near-duplicate components.</w:t>
      </w:r>
    </w:p>
    <w:p>
      <w:pPr>
        <w:widowControl/>
        <w:spacing w:line="480" w:lineRule="auto" w:after="0"/>
        <w:ind w:firstLine="360"/>
      </w:pPr>
      <w:r>
        <w:rPr>
          <w:rFonts w:ascii="Times New Roman" w:hAnsi="Times New Roman" w:eastAsia="Times New Roman" w:cs="Times New Roman"/>
          <w:color w:val="000000"/>
          <w:sz w:val="24"/>
        </w:rPr>
        <w:t>The relevance definition is intentionally narrow. A correct retrieval means that the held-out song is consistent with the remaining text assigned to its source label. It is not a human judgment of semantic similarity and not proof of authorship. Nevertheless, it supplies a reproducible fixed-corpus task in which every model must recover label-level repertoire evidence for a held-out song.</w:t>
      </w:r>
    </w:p>
    <w:p>
      <w:pPr>
        <w:pStyle w:val="Heading2"/>
      </w:pPr>
      <w:r>
        <w:t>5.2 Strict Holdout and Profile Construction</w:t>
      </w:r>
    </w:p>
    <w:p>
      <w:pPr>
        <w:widowControl/>
        <w:spacing w:line="480" w:lineRule="auto" w:after="0"/>
      </w:pPr>
      <w:r>
        <w:rPr>
          <w:rFonts w:ascii="Times New Roman" w:hAnsi="Times New Roman" w:eastAsia="Times New Roman" w:cs="Times New Roman"/>
          <w:color w:val="000000"/>
          <w:sz w:val="24"/>
        </w:rPr>
        <w:t>For each query, the full song is removed from its true profile. Its entire exact/near-duplicate component is then removed from every source-label profile it touches, including cross-label variants. The audit found one exact whole-song pair and 25 additional near-duplicate pairs; three of these 26 pairs cross source labels. Each retained duplicate component contributes total weight one within a label. At least five independent training components must remain after holdout.</w:t>
      </w:r>
    </w:p>
    <w:p>
      <w:pPr>
        <w:widowControl/>
        <w:spacing w:line="480" w:lineRule="auto" w:after="0"/>
        <w:ind w:firstLine="360"/>
      </w:pPr>
      <w:r>
        <w:rPr>
          <w:rFonts w:ascii="Times New Roman" w:hAnsi="Times New Roman" w:eastAsia="Times New Roman" w:cs="Times New Roman"/>
          <w:color w:val="000000"/>
          <w:sz w:val="24"/>
        </w:rPr>
        <w:t>Cross-label exact shared text is excluded before representations are constructed. This removes 4,877 eligible membership rows overall and 522 within the evaluated-song population, leaving zero exact cleaned-text hashes shared between strict labels. Of 6,848 otherwise eligible songs, 1,229 have no label-specific chunk after this filter and 164 more fall below the length threshold. These exclusions make the task conservative and change its estimand: it evaluates label-specific residual evidence rather than shared hooks or copied text.</w:t>
      </w:r>
    </w:p>
    <w:p>
      <w:pPr>
        <w:pStyle w:val="Heading2"/>
      </w:pPr>
      <w:r>
        <w:t>5.3 Dense, Lexical, and Fused Systems</w:t>
      </w:r>
    </w:p>
    <w:p>
      <w:pPr>
        <w:widowControl/>
        <w:spacing w:line="480" w:lineRule="auto" w:after="0"/>
      </w:pPr>
      <w:r>
        <w:rPr>
          <w:rFonts w:ascii="Times New Roman" w:hAnsi="Times New Roman" w:eastAsia="Times New Roman" w:cs="Times New Roman"/>
          <w:color w:val="000000"/>
          <w:sz w:val="24"/>
        </w:rPr>
        <w:t>For BGE-M3, chunk vectors are averaged within each song using frozen comparison-text weights and then normalized. Let sᴰ(q, ℓ) be cosine similarity between query song q and candidate label profile ℓ, where the profile is the equal-component mean of its eligible training-song vectors after the query group is removed.</w:t>
      </w:r>
    </w:p>
    <w:p>
      <w:pPr>
        <w:widowControl/>
        <w:spacing w:line="480" w:lineRule="auto" w:after="0"/>
        <w:ind w:firstLine="360"/>
      </w:pPr>
      <w:r>
        <w:rPr>
          <w:rFonts w:ascii="Times New Roman" w:hAnsi="Times New Roman" w:eastAsia="Times New Roman" w:cs="Times New Roman"/>
          <w:color w:val="000000"/>
          <w:sz w:val="24"/>
        </w:rPr>
        <w:t xml:space="preserve">The lexical system represents complete song text with character 2–5-gram TF–IDF using </w:t>
      </w:r>
      <w:r>
        <w:rPr>
          <w:rFonts w:ascii="Courier New" w:hAnsi="Courier New" w:eastAsia="Courier New" w:cs="Courier New"/>
          <w:color w:val="000000"/>
          <w:sz w:val="23"/>
        </w:rPr>
        <w:t>min_df=3</w:t>
      </w:r>
      <w:r>
        <w:rPr>
          <w:rFonts w:ascii="Times New Roman" w:hAnsi="Times New Roman" w:eastAsia="Times New Roman" w:cs="Times New Roman"/>
          <w:color w:val="000000"/>
          <w:sz w:val="24"/>
        </w:rPr>
        <w:t>, sublinear term frequency, L2 normalization, and a maximum of 150,000 features. Character n-grams avoid committing to one Chinese word-segmentation scheme and capture partial strings, morphology-like patterns, mixed script, and punctuation-normalized surface form. Candidate label profiles use the same strict group-held-out component aggregation. Their cosine scores are sᴸ(q, ℓ).</w:t>
      </w:r>
    </w:p>
    <w:p>
      <w:pPr>
        <w:widowControl/>
        <w:spacing w:line="480" w:lineRule="auto" w:after="0"/>
        <w:ind w:firstLine="360"/>
      </w:pPr>
      <w:r>
        <w:rPr>
          <w:rFonts w:ascii="Times New Roman" w:hAnsi="Times New Roman" w:eastAsia="Times New Roman" w:cs="Times New Roman"/>
          <w:color w:val="000000"/>
          <w:sz w:val="24"/>
        </w:rPr>
        <w:t>Because dense and lexical cosine distributions have different scales, fusion standardizes each system's 204 candidate-label scores within a query:</w:t>
      </w:r>
    </w:p>
    <w:p>
      <w:pPr>
        <w:spacing w:line="276" w:lineRule="auto" w:before="120" w:after="120"/>
        <w:jc w:val="center"/>
      </w:pPr>
      <w:r>
        <w:rPr>
          <w:rFonts w:ascii="Cambria Math" w:hAnsi="Cambria Math" w:eastAsia="Cambria Math" w:cs="Cambria Math"/>
          <w:i/>
          <w:color w:val="000000"/>
          <w:sz w:val="23"/>
        </w:rPr>
        <w:t>zᴰ_qℓ = (sᴰ_qℓ − μᴰ_q) / σᴰ_q,    zᴸ_qℓ = (sᴸ_qℓ − μᴸ_q) / σᴸ_q.</w:t>
      </w:r>
    </w:p>
    <w:p>
      <w:pPr>
        <w:spacing w:line="276" w:lineRule="auto" w:before="120" w:after="120"/>
        <w:jc w:val="center"/>
      </w:pPr>
      <w:r>
        <w:rPr>
          <w:rFonts w:ascii="Cambria Math" w:hAnsi="Cambria Math" w:eastAsia="Cambria Math" w:cs="Cambria Math"/>
          <w:i/>
          <w:color w:val="000000"/>
          <w:sz w:val="23"/>
        </w:rPr>
        <w:t>sᶠ_qℓ = ½zᴰ_qℓ + ½zᴸ_qℓ.</w:t>
      </w:r>
    </w:p>
    <w:p>
      <w:pPr>
        <w:widowControl/>
        <w:spacing w:line="480" w:lineRule="auto" w:after="0"/>
        <w:ind w:firstLine="360"/>
      </w:pPr>
      <w:r>
        <w:rPr>
          <w:rFonts w:ascii="Times New Roman" w:hAnsi="Times New Roman" w:eastAsia="Times New Roman" w:cs="Times New Roman"/>
          <w:color w:val="000000"/>
          <w:sz w:val="24"/>
        </w:rPr>
        <w:t>The equal weight is fixed without looking at evaluation outcomes. A raw-cosine average is retained as a scale-sensitivity diagnostic. Two further diagnostics remove the non-exact near-duplicate guard or restore shared text while keeping the same query population.</w:t>
      </w:r>
    </w:p>
    <w:p>
      <w:pPr>
        <w:pStyle w:val="Heading2"/>
      </w:pPr>
      <w:r>
        <w:t>5.4 Results</w:t>
      </w:r>
    </w:p>
    <w:p>
      <w:pPr>
        <w:widowControl/>
        <w:spacing w:line="480" w:lineRule="auto" w:after="0"/>
      </w:pPr>
      <w:r>
        <w:rPr>
          <w:rFonts w:ascii="Times New Roman" w:hAnsi="Times New Roman" w:eastAsia="Times New Roman" w:cs="Times New Roman"/>
          <w:color w:val="000000"/>
          <w:sz w:val="24"/>
        </w:rPr>
        <w:t>Character TF–IDF outperforms BGE-M3 dense retrieval on every primary metric, but their standardized fusion is better than either component (Table 2; Fig. 2). Fusion reaches macro MRR 0.447 (95% confidence interval [CI] 0.414–0.481) and Recall@10 0.611 (0.577–0.646). Its MRR advantage over TF–IDF is 0.031 (paired 95% CI 0.021–0.042); its Recall@10 advantage is 0.050 (0.033–0.066). Against BGE-M3, the fusion gains are larger: MRR +0.127 (0.106–0.147) and Recall@10 +0.103 (0.079–0.127). All five fusion-versus-component intervals are above zero.</w:t>
      </w:r>
    </w:p>
    <w:p>
      <w:pPr>
        <w:widowControl/>
        <w:spacing w:line="480" w:lineRule="auto" w:after="0"/>
        <w:ind w:firstLine="360"/>
      </w:pPr>
      <w:r>
        <w:rPr>
          <w:rFonts w:ascii="Times New Roman" w:hAnsi="Times New Roman" w:eastAsia="Times New Roman" w:cs="Times New Roman"/>
          <w:color w:val="000000"/>
          <w:sz w:val="24"/>
        </w:rPr>
        <w:t>Under sixfold training-only fitting, fusion MRR remains 0.440 versus 0.405 for TF–IDF (difference +0.035, 95% CI 0.024–0.046). Matched transductive exposure adds only 0.004 MRR to either TF–IDF or fusion (+0.003963 and +0.003681, respectively); this small optimism cannot account for the fusion gain.</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82"/>
        <w:gridCol w:w="1235"/>
        <w:gridCol w:w="1235"/>
        <w:gridCol w:w="1235"/>
        <w:gridCol w:w="1235"/>
        <w:gridCol w:w="1238"/>
      </w:tblGrid>
      <w:tr>
        <w:trPr>
          <w:cantSplit/>
          <w:tblHeader w:val="true"/>
        </w:trPr>
        <w:tc>
          <w:tcPr>
            <w:tcW w:type="dxa" w:w="3182"/>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System</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MRR</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Recall@1</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Recall@5</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Recall@10</w:t>
            </w:r>
          </w:p>
        </w:tc>
        <w:tc>
          <w:tcPr>
            <w:tcW w:type="dxa" w:w="123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nDCG@10</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BGE-M3 dense (strict)</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0.320 [0.295, 0.346]</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0.226 [0.199, 0.252]</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0.407 [0.377, 0.437]</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0.508 [0.478, 0.538]</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0.353 [0.326, 0.380]</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Character 2–5-gram TF–IDF (strict)</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0.416 [0.381, 0.451]</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0.337 [0.301, 0.374]</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0.492 [0.453, 0.530]</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0.562 [0.523, 0.601]</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0.440 [0.405, 0.477]</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Equal-weight z-score fusion (strict)</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0.447 [0.414, 0.481]</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0.362 [0.328, 0.398]</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0.528 [0.493, 0.564]</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0.611 [0.577, 0.646]</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0.476 [0.443, 0.511]</w:t>
            </w:r>
          </w:p>
        </w:tc>
      </w:tr>
    </w:tbl>
    <w:p>
      <w:pPr>
        <w:spacing w:after="20" w:line="240" w:lineRule="auto"/>
      </w:pPr>
    </w:p>
    <w:p>
      <w:pPr>
        <w:pStyle w:val="Caption"/>
        <w:keepNext w:val="0"/>
      </w:pPr>
      <w:r>
        <w:rPr>
          <w:rFonts w:ascii="Times New Roman" w:hAnsi="Times New Roman" w:eastAsia="Times New Roman" w:cs="Times New Roman"/>
          <w:color w:val="000000"/>
          <w:sz w:val="20"/>
        </w:rPr>
        <w:t>Table 2 Duplicate-component-adjusted source-label macro retrieval metrics across 5,455 held-out songs and 204 labels. Brackets show paired, occurrence-wise two-stage bootstrap 95% intervals (5,000 replicates).</w:t>
      </w:r>
    </w:p>
    <w:p>
      <w:pPr>
        <w:widowControl/>
        <w:spacing w:line="480" w:lineRule="auto" w:after="0"/>
        <w:ind w:firstLine="360"/>
      </w:pPr>
      <w:r>
        <w:rPr>
          <w:rFonts w:ascii="Times New Roman" w:hAnsi="Times New Roman" w:eastAsia="Times New Roman" w:cs="Times New Roman"/>
          <w:color w:val="000000"/>
          <w:sz w:val="24"/>
        </w:rPr>
        <w:t>Standardization improves MRR slightly over raw-cosine averaging (+0.005, 0.001–0.009); Recall@1/5 remain inconclusive and the Recall@10 interval barely excludes zero. Removing the near-duplicate guard produces small optimistic Recall@10 and nDCG@10 shifts. Restoring exact cross-label shared text similarly raises MRR by 0.005, Recall@10 by 0.008, and nDCG@10 by 0.006. These diagnostics support the strict controls; they do not show that a less guarded system generalizes better.</w:t>
      </w:r>
    </w:p>
    <w:p>
      <w:pPr>
        <w:widowControl/>
        <w:spacing w:line="480" w:lineRule="auto" w:after="0"/>
        <w:ind w:firstLine="360"/>
      </w:pPr>
      <w:r>
        <w:rPr>
          <w:rFonts w:ascii="Times New Roman" w:hAnsi="Times New Roman" w:eastAsia="Times New Roman" w:cs="Times New Roman"/>
          <w:color w:val="000000"/>
          <w:sz w:val="24"/>
        </w:rPr>
        <w:t>Performance varies substantially by repertoire: some source labels are retrieved nearly perfectly, whereas others have median true-label ranks below ten. Fusion is not a universal artist recognizer; semantic and surface-form signals rescue different queries. PO8 has the largest released label-level MRR lift over its better component (+0.224), while some easy labels gain nothing. The interface explains each aggregate recommendation and label-level repeatability without exposing query text or claiming a personal relationship.</w:t>
      </w:r>
    </w:p>
    <w:p>
      <w:pPr>
        <w:pStyle w:val="Heading2"/>
      </w:pPr>
      <w:r>
        <w:t>5.5 Corpus-Wide Descriptive Repertoire Companion</w:t>
      </w:r>
    </w:p>
    <w:p>
      <w:pPr>
        <w:widowControl/>
        <w:spacing w:line="480" w:lineRule="auto" w:after="0"/>
      </w:pPr>
      <w:r>
        <w:rPr>
          <w:rFonts w:ascii="Times New Roman" w:hAnsi="Times New Roman" w:eastAsia="Times New Roman" w:cs="Times New Roman"/>
          <w:color w:val="000000"/>
          <w:sz w:val="24"/>
        </w:rPr>
        <w:t>The interactive overview is a secondary descriptive analysis of Task 1, not another retrieval evaluation and not a visualization of the fusion scores in Table 2. It represents each of 204 support-eligible source-credit labels by a duplicate-component-weighted mean of its BGE-M3 lyric-chunk vectors. A sensitivity representation is recomputed after excluding every exact cleaned text shared across labels. A pair is retained only when each label ranks the other among its five closest cosine neighbours in both representations. Among 20,706 possible pairs, 86 satisfy this reciprocal rule, connecting 93 labels; the remaining 111 have no released reciprocal edge under the rule. A line therefore denotes corpus-internal BGE-M3 repertoire proximity, not collaboration, influence, genre, geography, biography, preference, popularity, or verified identity.</w:t>
      </w:r>
    </w:p>
    <w:p>
      <w:pPr>
        <w:widowControl/>
        <w:spacing w:line="480" w:lineRule="auto" w:after="0"/>
        <w:ind w:firstLine="360"/>
      </w:pPr>
      <w:r>
        <w:rPr>
          <w:rFonts w:ascii="Times New Roman" w:hAnsi="Times New Roman" w:eastAsia="Times New Roman" w:cs="Times New Roman"/>
          <w:color w:val="000000"/>
          <w:sz w:val="24"/>
        </w:rPr>
        <w:t xml:space="preserve">The 86 cross-treatment matches are far above a degree-controlled null. Holding the primary graph fixed and rewiring the sensitivity graph while preserving every label's degree produced a mean overlap of 4.52 edges (95% null range 1–9; maximum 13) across 10,000 replicates; none reached the observed 86 (add-one Monte Carlo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&lt; 0.001). This tests specific adjacency agreement beyond degree structure, not whether each edge is independently significant or whether the graph recovers real-world cultural relations.</w:t>
      </w:r>
    </w:p>
    <w:p>
      <w:pPr>
        <w:widowControl/>
        <w:spacing w:line="480" w:lineRule="auto" w:after="0"/>
        <w:ind w:firstLine="360"/>
      </w:pPr>
      <w:r>
        <w:rPr>
          <w:rFonts w:ascii="Times New Roman" w:hAnsi="Times New Roman" w:eastAsia="Times New Roman" w:cs="Times New Roman"/>
          <w:color w:val="000000"/>
          <w:sz w:val="24"/>
        </w:rPr>
        <w:t>For the global layout, normalized centroids from both text treatments are combined and projected by deterministic principal-components analysis (PCA). The first two components retain 26.2% of profile variation. At five neighbours, trustworthiness is 0.785 and exact high-dimensional-neighbour retention is 0.173, versus a random expectation of 0.025. The map therefore preserves broad structure beyond chance but not every local neighbourhood: only a retained line defines a released match, while screen distance and the focused ego diagram's angle and radius remain non-analytical.</w:t>
      </w:r>
    </w:p>
    <w:p>
      <w:pPr>
        <w:widowControl/>
        <w:spacing w:line="480" w:lineRule="auto" w:after="0"/>
        <w:ind w:firstLine="360"/>
      </w:pPr>
      <w:r>
        <w:rPr>
          <w:rFonts w:ascii="Times New Roman" w:hAnsi="Times New Roman" w:eastAsia="Times New Roman" w:cs="Times New Roman"/>
          <w:color w:val="000000"/>
          <w:sz w:val="24"/>
        </w:rPr>
        <w:t>Repeatability is assessed with 250 fixed-seed resamples in which songs are sampled with replacement within each label and both reciprocal-top-five graphs are recomputed. Observed-edge selection frequency ranges from 0.072 to 0.712 (median 0.280); 16 of 86 edges, connecting 25 labels, meet the prespecified 0.50 display gate, and none reaches 0.80. This frequency is neither posterior probability nor statistical confidence. Auxiliary explanations are computed only after an edge exists: duplicate-controlled informative-Dirichlet distinctive wording, song-normalized written endings, and song-level writing-form probes. A signal is displayed only when it reaches the 90th percentile within its support stratum. Forty-eight edges have at least one such concordant signal; 38 remain semantic-only. These probes explain measurable common ground but do not causally decompose the embedding.</w:t>
      </w:r>
    </w:p>
    <w:p>
      <w:pPr>
        <w:pStyle w:val="Heading1"/>
      </w:pPr>
      <w:r>
        <w:t>6. Downstream Task 2: Chinese-Rap NER and a Provisional Cultural-Reference Network</w:t>
      </w:r>
    </w:p>
    <w:p>
      <w:pPr>
        <w:pStyle w:val="Heading2"/>
      </w:pPr>
      <w:r>
        <w:t>6.1 Schema and Evidence Status</w:t>
      </w:r>
    </w:p>
    <w:p>
      <w:pPr>
        <w:widowControl/>
        <w:spacing w:line="480" w:lineRule="auto" w:after="0"/>
      </w:pPr>
      <w:r>
        <w:rPr>
          <w:rFonts w:ascii="Times New Roman" w:hAnsi="Times New Roman" w:eastAsia="Times New Roman" w:cs="Times New Roman"/>
          <w:color w:val="000000"/>
          <w:sz w:val="24"/>
        </w:rPr>
        <w:t xml:space="preserve">The domain schema includes </w:t>
      </w:r>
      <w:r>
        <w:rPr>
          <w:rFonts w:ascii="Courier New" w:hAnsi="Courier New" w:eastAsia="Courier New" w:cs="Courier New"/>
          <w:color w:val="000000"/>
          <w:sz w:val="23"/>
        </w:rPr>
        <w:t>PERSON_REFERENCE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GROUP_CREW_OR_ORGANIZATION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PLACE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BRAND_OR_PRODUCT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WORK_OR_MEDIA</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EVENT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LANGUAGE_OR_DIALECT_REFERENCE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ETHNOCULTURAL_GROUP_REFERENCE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RAP_CULTURE_CONCEPT</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3"/>
        </w:rPr>
        <w:t>OTHER_CULTURAL_REFERENCE</w:t>
      </w:r>
      <w:r>
        <w:rPr>
          <w:rFonts w:ascii="Times New Roman" w:hAnsi="Times New Roman" w:eastAsia="Times New Roman" w:cs="Times New Roman"/>
          <w:color w:val="000000"/>
          <w:sz w:val="24"/>
        </w:rPr>
        <w:t xml:space="preserve">, plus </w:t>
      </w:r>
      <w:r>
        <w:rPr>
          <w:rFonts w:ascii="Courier New" w:hAnsi="Courier New" w:eastAsia="Courier New" w:cs="Courier New"/>
          <w:color w:val="000000"/>
          <w:sz w:val="23"/>
        </w:rPr>
        <w:t>NOT_ENTITY</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3"/>
        </w:rPr>
        <w:t>UNCERTAIN</w:t>
      </w:r>
      <w:r>
        <w:rPr>
          <w:rFonts w:ascii="Times New Roman" w:hAnsi="Times New Roman" w:eastAsia="Times New Roman" w:cs="Times New Roman"/>
          <w:color w:val="000000"/>
          <w:sz w:val="24"/>
        </w:rPr>
        <w:t>. A person reference may be real, stage-named, fictional, or mythic; it never automatically denotes a rapper. Reviewers label validity, type, referential status, normalized surface, linking status, confidence, and corrections in private context.</w:t>
      </w:r>
    </w:p>
    <w:p>
      <w:pPr>
        <w:widowControl/>
        <w:spacing w:line="480" w:lineRule="auto" w:after="0"/>
        <w:ind w:firstLine="360"/>
      </w:pPr>
      <w:r>
        <w:rPr>
          <w:rFonts w:ascii="Times New Roman" w:hAnsi="Times New Roman" w:eastAsia="Times New Roman" w:cs="Times New Roman"/>
          <w:color w:val="000000"/>
          <w:sz w:val="24"/>
        </w:rPr>
        <w:t>The current corpus has no completed occurrence-level human gold. The primary release provides two blank, complementary packages: an 800-occurrence corpuswide dual-review sample and a claim-directed audit containing all 157 unique occurrences supporting the six released label/reference and four co-mention claims. Both require independent dual review and adjudication; claim/control status is blinded in the claim-directed package, and zero decisions are complete. The claim audit completely covers its released-claim frame but is claim-conditioned, so neither package presently supports precision, recall, F1, inter-annotator agreement, or claim-confirmation rates.</w:t>
      </w:r>
    </w:p>
    <w:p>
      <w:pPr>
        <w:pStyle w:val="Heading2"/>
      </w:pPr>
      <w:r>
        <w:t>6.2 Two Candidate Baselines</w:t>
      </w:r>
    </w:p>
    <w:p>
      <w:pPr>
        <w:widowControl/>
        <w:spacing w:line="480" w:lineRule="auto" w:after="0"/>
      </w:pPr>
      <w:r>
        <w:rPr>
          <w:rFonts w:ascii="Times New Roman" w:hAnsi="Times New Roman" w:eastAsia="Times New Roman" w:cs="Times New Roman"/>
          <w:color w:val="000000"/>
          <w:sz w:val="24"/>
        </w:rPr>
        <w:t>Baseline A is a screened 605-surface lexicon, of which 561 surfaces map to the target schema. Matching is case-sensitive and literal; ASCII/digit surfaces require non-ASCII-word boundaries. Overlap is resolved globally by longest span and then earliest start. Screening a surface establishes only that it is a plausible candidate, not that every occurrence is an entity in context.</w:t>
      </w:r>
    </w:p>
    <w:p>
      <w:pPr>
        <w:widowControl/>
        <w:spacing w:line="480" w:lineRule="auto" w:after="0"/>
        <w:ind w:firstLine="360"/>
      </w:pPr>
      <w:r>
        <w:rPr>
          <w:rFonts w:ascii="Times New Roman" w:hAnsi="Times New Roman" w:eastAsia="Times New Roman" w:cs="Times New Roman"/>
          <w:color w:val="000000"/>
          <w:sz w:val="24"/>
        </w:rPr>
        <w:t xml:space="preserve">Baseline B is the pinned </w:t>
      </w:r>
      <w:r>
        <w:rPr>
          <w:rFonts w:ascii="Courier New" w:hAnsi="Courier New" w:eastAsia="Courier New" w:cs="Courier New"/>
          <w:color w:val="000000"/>
          <w:sz w:val="23"/>
        </w:rPr>
        <w:t>ckiplab/albert-tiny-chinese-ner</w:t>
      </w:r>
      <w:r>
        <w:rPr>
          <w:rFonts w:ascii="Times New Roman" w:hAnsi="Times New Roman" w:eastAsia="Times New Roman" w:cs="Times New Roman"/>
          <w:color w:val="000000"/>
          <w:sz w:val="24"/>
        </w:rPr>
        <w:t xml:space="preserve"> token classifier, executed through Transformers and PyTorch with configuration and weight hashes recorded in the release (Paszke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2019; Wolf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2020). It is a Traditional-Chinese general-domain model, used in 180-character windows with 40-character overlap. Overlapping window predictions are deduplicated. Because stage names, slang, creative spelling, and simplified Chinese create domain shift, model confidence is not treated as calibrated probability.</w:t>
      </w:r>
    </w:p>
    <w:p>
      <w:pPr>
        <w:widowControl/>
        <w:spacing w:line="480" w:lineRule="auto" w:after="0"/>
        <w:ind w:firstLine="360"/>
      </w:pPr>
      <w:r>
        <w:rPr>
          <w:rFonts w:ascii="Times New Roman" w:hAnsi="Times New Roman" w:eastAsia="Times New Roman" w:cs="Times New Roman"/>
          <w:color w:val="000000"/>
          <w:sz w:val="24"/>
        </w:rPr>
        <w:t>The comparison frame contains every unique line with a lexicon candidate plus a deterministic hash-ranked sample of 3,000 candidate-free lines: 23,177 lines. The lexicon produces 22,448 spans and the transformer 12,602; the full lexicon pass yields 37,983 source occurrences. Exact span/type agreement occurs 3,566 times, including 3,290 above confidence 0.80. Deduplicating identical line/span/type combinations gives 2,011 agreements and 1,888 high-consistency spans. Both units measure overlap between fallible methods, not correctness.</w:t>
      </w:r>
    </w:p>
    <w:p>
      <w:pPr>
        <w:pStyle w:val="Heading2"/>
      </w:pPr>
      <w:r>
        <w:t>6.3 Human Review Design and Provisional Release Gate</w:t>
      </w:r>
    </w:p>
    <w:p>
      <w:pPr>
        <w:widowControl/>
        <w:spacing w:line="480" w:lineRule="auto" w:after="0"/>
      </w:pPr>
      <w:r>
        <w:rPr>
          <w:rFonts w:ascii="Times New Roman" w:hAnsi="Times New Roman" w:eastAsia="Times New Roman" w:cs="Times New Roman"/>
          <w:color w:val="000000"/>
          <w:sz w:val="24"/>
        </w:rPr>
        <w:t>The private annotation package samples 800 distinct occurrences stratified by proposed type and agreement state: exact agreement, overlapping agreement, type/boundary conflict, lexicon-only, and transformer-only. Two reviewers work independently; disagreements, uncertainty, corrected spans/types, or conflicting links require adjudication. A future gold release requires complete dual review, adjudication, agreement reporting, manifest reconciliation, and a song-level train/dev/test split.</w:t>
      </w:r>
    </w:p>
    <w:p>
      <w:pPr>
        <w:widowControl/>
        <w:spacing w:line="480" w:lineRule="auto" w:after="0"/>
        <w:ind w:firstLine="360"/>
      </w:pPr>
      <w:r>
        <w:rPr>
          <w:rFonts w:ascii="Times New Roman" w:hAnsi="Times New Roman" w:eastAsia="Times New Roman" w:cs="Times New Roman"/>
          <w:color w:val="000000"/>
          <w:sz w:val="24"/>
        </w:rPr>
        <w:t>Before review, corpuswide aggregates must pass exact span/type agreement, confidence ≥0.80, at least five strict occurrences in five duplicate-controlled songs and three labels, agreement on at least half of lexicon occurrences, and mean confidence ≥0.80. Every survivor receives a release audit. Named-person surfaces must also appear in a screened individual ledger; places and language surfaces retain only those narrow types. Ambiguous items and types without a release rule are withheld.</w:t>
      </w:r>
    </w:p>
    <w:p>
      <w:pPr>
        <w:widowControl/>
        <w:spacing w:line="480" w:lineRule="auto" w:after="0"/>
        <w:ind w:firstLine="360"/>
      </w:pPr>
      <w:r>
        <w:rPr>
          <w:rFonts w:ascii="Times New Roman" w:hAnsi="Times New Roman" w:eastAsia="Times New Roman" w:cs="Times New Roman"/>
          <w:color w:val="000000"/>
          <w:sz w:val="24"/>
        </w:rPr>
        <w:t>The primary graph then reapplies the same gate after two restrictions fixed independently of the observed association scores: the 204-label retrieval universe is used, and every exact cleaned-text hash observed under more than one canonical label anywhere in the eligible corpus is excluded. There are 2,187 such hashes. The primary inventory is required to be a strict subset of the frozen corpuswide candidate inventory so that denominator filtering cannot introduce a new surface merely by increasing its agreement rate.</w:t>
      </w:r>
    </w:p>
    <w:p>
      <w:pPr>
        <w:pStyle w:val="Heading2"/>
      </w:pPr>
      <w:r>
        <w:t>6.4 Typed Network Construction</w:t>
      </w:r>
    </w:p>
    <w:p>
      <w:pPr>
        <w:widowControl/>
        <w:spacing w:line="480" w:lineRule="auto" w:after="0"/>
      </w:pPr>
      <w:r>
        <w:rPr>
          <w:rFonts w:ascii="Times New Roman" w:hAnsi="Times New Roman" w:eastAsia="Times New Roman" w:cs="Times New Roman"/>
          <w:color w:val="000000"/>
          <w:sz w:val="24"/>
        </w:rPr>
        <w:t>Only audited provisional entities enter the graph. Its two edge layers have different meanings and separate multiple-testing families:</w:t>
      </w:r>
    </w:p>
    <w:p>
      <w:pPr>
        <w:widowControl/>
        <w:spacing w:line="480" w:lineRule="auto" w:after="0"/>
        <w:ind w:firstLine="360"/>
      </w:pPr>
      <w:r>
        <w:rPr>
          <w:rFonts w:ascii="Times New Roman" w:hAnsi="Times New Roman" w:eastAsia="Times New Roman" w:cs="Times New Roman"/>
          <w:color w:val="000000"/>
          <w:sz w:val="24"/>
        </w:rPr>
        <w:t xml:space="preserve">1. </w:t>
      </w:r>
      <w:r>
        <w:rPr>
          <w:rFonts w:ascii="Courier New" w:hAnsi="Courier New" w:eastAsia="Courier New" w:cs="Courier New"/>
          <w:color w:val="000000"/>
          <w:sz w:val="23"/>
        </w:rPr>
        <w:t>SOURCE_LABEL_TO_LYRIC_REFERENCE</w:t>
      </w:r>
      <w:r>
        <w:rPr>
          <w:rFonts w:ascii="Times New Roman" w:hAnsi="Times New Roman" w:eastAsia="Times New Roman" w:cs="Times New Roman"/>
          <w:color w:val="000000"/>
          <w:sz w:val="24"/>
        </w:rPr>
        <w:t xml:space="preserve"> tests every source-label/entity pair in the 204-label universe. Release requires the entity in at least five of at least ten eligible source-labelled song units, within-label coverage at least 5%, a Jeffreys-smoothed risk ratio of at least 1.50 against the rest of the graph universe, a conservative 95% risk-ratio interval lower bound above 1.0, and Benjamini–Hochberg FDR (q ≤ 0.05). If the label rate has a 95% Jeffreys interval [pᴸ⁻, pᴸ⁺] and the rest-of-corpus rate has [pᴿ⁻, pᴿ⁺], the reported constructed bound is [pᴸ⁻/pᴿ⁺, pᴸ⁺/pᴿ⁻]. It is a conservative ratio of marginal bounds, not a standard likelihood-based confidence interval for the risk ratio. The table retains raw lift, smoothed rates, this uncertainty bound, p, q, and a reliability class.</w:t>
      </w:r>
    </w:p>
    <w:p>
      <w:pPr>
        <w:widowControl/>
        <w:spacing w:line="480" w:lineRule="auto" w:after="0"/>
        <w:ind w:firstLine="360"/>
      </w:pPr>
      <w:r>
        <w:rPr>
          <w:rFonts w:ascii="Times New Roman" w:hAnsi="Times New Roman" w:eastAsia="Times New Roman" w:cs="Times New Roman"/>
          <w:color w:val="000000"/>
          <w:sz w:val="24"/>
        </w:rPr>
        <w:t xml:space="preserve">2. </w:t>
      </w:r>
      <w:r>
        <w:rPr>
          <w:rFonts w:ascii="Courier New" w:hAnsi="Courier New" w:eastAsia="Courier New" w:cs="Courier New"/>
          <w:color w:val="000000"/>
          <w:sz w:val="23"/>
        </w:rPr>
        <w:t>SAME_SONG_LYRIC_REFERENCE_CO_MENTION</w:t>
      </w:r>
      <w:r>
        <w:rPr>
          <w:rFonts w:ascii="Times New Roman" w:hAnsi="Times New Roman" w:eastAsia="Times New Roman" w:cs="Times New Roman"/>
          <w:color w:val="000000"/>
          <w:sz w:val="24"/>
        </w:rPr>
        <w:t xml:space="preserve"> tests entity pairs over </w:t>
      </w:r>
      <w:r>
        <w:rPr>
          <w:rFonts w:ascii="Times New Roman" w:hAnsi="Times New Roman" w:eastAsia="Times New Roman" w:cs="Times New Roman"/>
          <w:b/>
          <w:color w:val="000000"/>
          <w:sz w:val="24"/>
        </w:rPr>
        <w:t>all 5,681 eligible shared-text-excluded full-song units</w:t>
      </w:r>
      <w:r>
        <w:rPr>
          <w:rFonts w:ascii="Times New Roman" w:hAnsi="Times New Roman" w:eastAsia="Times New Roman" w:cs="Times New Roman"/>
          <w:color w:val="000000"/>
          <w:sz w:val="24"/>
        </w:rPr>
        <w:t>, including songs with no released entity. Release requires at least five units across at least three source labels, lift at least 1.25, positive normalized PMI, and BH q ≤ 0.05.</w:t>
      </w:r>
    </w:p>
    <w:p>
      <w:pPr>
        <w:widowControl/>
        <w:spacing w:line="480" w:lineRule="auto" w:after="0"/>
        <w:ind w:firstLine="360"/>
      </w:pPr>
      <w:r>
        <w:rPr>
          <w:rFonts w:ascii="Times New Roman" w:hAnsi="Times New Roman" w:eastAsia="Times New Roman" w:cs="Times New Roman"/>
          <w:color w:val="000000"/>
          <w:sz w:val="24"/>
        </w:rPr>
        <w:t>Neither edge is called a collaboration, influence, affiliation, identity link, or social relation. Full-song content hashes define independent support but remain private.</w:t>
      </w:r>
    </w:p>
    <w:p>
      <w:pPr>
        <w:pStyle w:val="Heading2"/>
      </w:pPr>
      <w:r>
        <w:t>6.5 Provisional Results and Required Abstention</w:t>
      </w:r>
    </w:p>
    <w:p>
      <w:pPr>
        <w:widowControl/>
        <w:spacing w:line="480" w:lineRule="auto" w:after="0"/>
      </w:pPr>
      <w:r>
        <w:rPr>
          <w:rFonts w:ascii="Times New Roman" w:hAnsi="Times New Roman" w:eastAsia="Times New Roman" w:cs="Times New Roman"/>
          <w:color w:val="000000"/>
          <w:sz w:val="24"/>
        </w:rPr>
        <w:t>The corpuswide inventory contains 33 provisional surfaces. Excluding exact cross-label shared text removes 539 of 1,474 strict occurrence rows and leaves 23 surfaces; the fixed 204-label universe leaves 22: 18 places, two language references, and two named-person surfaces. Legacy support/lift-only label/entity links fall from 85 to 40 after exclusion; uncertainty and BH-FDR retain six, all places. Legacy co-mentions fall from nine to one under the entity-bearing denominator; the corrected all-song denominator yields five basic-gate pairs and four BH-FDR releases. Table 3 and Figure 3 keep these units separate.</w:t>
      </w:r>
    </w:p>
    <w:p>
      <w:pPr>
        <w:widowControl/>
        <w:spacing w:line="480" w:lineRule="auto" w:after="0"/>
        <w:ind w:firstLine="360"/>
      </w:pPr>
      <w:r>
        <w:rPr>
          <w:rFonts w:ascii="Times New Roman" w:hAnsi="Times New Roman" w:eastAsia="Times New Roman" w:cs="Times New Roman"/>
          <w:color w:val="000000"/>
          <w:sz w:val="24"/>
        </w:rPr>
        <w:t>For example, 杭州 appears in 10 of 38 eligible shared-text-excluded song units labelled Tangoz (26.3%). Its Jeffreys-smoothed risk ratio against the rest of the graph universe is 74.12, with a conservative 95% interval of 26.87–186.44 and q=3.04 × 10⁻¹². This describes a concentrated lyric reference, not residence or preference. Two independently supported edges connect 上海 to GALI (8/36 units; risk ratio 13.17, q=0.00020) and 法老 (7/41; risk ratio 10.12, q=0.00496), enabling a shared-reference path without calling the labels socially related. Among entity pairs, 伦敦 and 巴黎 co-occur in five of 5,681 eligible song units across five labels (NPMI 0.500; q=4.21 × 10⁻⁵); this is a recurring textual frame, not a relation between places or persons.</w:t>
      </w:r>
    </w:p>
    <w:p>
      <w:pPr>
        <w:widowControl/>
        <w:spacing w:line="480" w:lineRule="auto" w:after="0"/>
        <w:ind w:firstLine="360"/>
      </w:pPr>
      <w:r>
        <w:rPr>
          <w:rFonts w:ascii="Times New Roman" w:hAnsi="Times New Roman" w:eastAsia="Times New Roman" w:cs="Times New Roman"/>
          <w:color w:val="000000"/>
          <w:sz w:val="24"/>
        </w:rPr>
        <w:t>Withholding is equally informative. 上帝 has abundant automated person-shaped agreement but is absent from the named-individual ledger and can include theological or figurative uses; it is not released as a person. 中南海 can denote a place, political metonym, or product brand; 桃源 can be geographic or figurative; 西山 has multiple possible referents. All are withheld until occurrence review resolves their senses. No label association involving a provisional person or language surface clears the song-unit uncertainty and multiplicity gates. The graph is therefore a small map of reproducible candidate evidence, not a completed NER benchmark.</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05"/>
        <w:gridCol w:w="2527"/>
        <w:gridCol w:w="2528"/>
      </w:tblGrid>
      <w:tr>
        <w:trPr>
          <w:cantSplit/>
          <w:tblHeader w:val="true"/>
        </w:trPr>
        <w:tc>
          <w:tcPr>
            <w:tcW w:type="dxa" w:w="430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Stage</w:t>
            </w:r>
          </w:p>
        </w:tc>
        <w:tc>
          <w:tcPr>
            <w:tcW w:type="dxa" w:w="252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Count</w:t>
            </w:r>
          </w:p>
        </w:tc>
        <w:tc>
          <w:tcPr>
            <w:tcW w:type="dxa" w:w="252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Evidential meaning</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Screened lexicon surfaces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605</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Candidate inventory, not gold</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Exact agreements</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3,566 occurrences / 2,011 unique-line spans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Cross-method agreement, not accuracy</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Strict high-consistency agreements</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3,290 occurrences / 1,888 unique-line spans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Candidate evidence on two explicitly different units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Corpuswide provisional inventory</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33 surfaces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Frozen sensitivity inventory before shared-text exclusion</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Shared-text-excluded primary inventory</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22 surfaces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18 places, 2 language references, 2 named-person surfaces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Supported source-label/entity links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6</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Jeffreys interval and BH-FDR gate; all are place references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Supported same-song co-mentions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4</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All-song denominator, positive NPMI, and BH-FDR gate</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Private dual-review tasks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800</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Required path to human gold</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Claim-directed audit</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157 unique occurrences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All support for ten released claims; 0 reviewed</w:t>
            </w:r>
          </w:p>
        </w:tc>
      </w:tr>
    </w:tbl>
    <w:p>
      <w:pPr>
        <w:spacing w:after="20" w:line="240" w:lineRule="auto"/>
      </w:pPr>
    </w:p>
    <w:p>
      <w:pPr>
        <w:pStyle w:val="Caption"/>
        <w:keepNext w:val="0"/>
      </w:pPr>
      <w:r>
        <w:rPr>
          <w:rFonts w:ascii="Times New Roman" w:hAnsi="Times New Roman" w:eastAsia="Times New Roman" w:cs="Times New Roman"/>
          <w:color w:val="000000"/>
          <w:sz w:val="20"/>
        </w:rPr>
        <w:t>Table 3 NER readiness and statistically screened provisional cultural-network output. No precision, recall, or F1 is valid before dual review and adjudication.</w:t>
      </w:r>
    </w:p>
    <w:p>
      <w:pPr>
        <w:pStyle w:val="Heading1"/>
      </w:pPr>
      <w:r>
        <w:t>7. Downstream Task 3: Written-Rhyme Continuation</w:t>
      </w:r>
    </w:p>
    <w:p>
      <w:pPr>
        <w:pStyle w:val="Heading2"/>
      </w:pPr>
      <w:r>
        <w:t>7.1 Line and Ending Construction</w:t>
      </w:r>
    </w:p>
    <w:p>
      <w:pPr>
        <w:widowControl/>
        <w:spacing w:line="480" w:lineRule="auto" w:after="0"/>
      </w:pPr>
      <w:r>
        <w:rPr>
          <w:rFonts w:ascii="Times New Roman" w:hAnsi="Times New Roman" w:eastAsia="Times New Roman" w:cs="Times New Roman"/>
          <w:color w:val="000000"/>
          <w:sz w:val="24"/>
        </w:rPr>
        <w:t>The rhyme task uses 204 source labels after shared-text exclusion. Cleaned newlines define written lines; empty, header, non-Han, unclassifiable, or non-Han-terminal lines are excluded. The frozen task universe has 5,619 songs: 5,452 yield 283,806 strict-Han-ending lines and 5,347 yield 238,881 adjacent transitions. Its 52,152 repeat count is excess after first within label/song; surviving positions and original adjacency are retained. Reconnecting eligible pre-snapshot chunks holds labels fixed but expands songs to 5,621, line-bearing songs to 5,459, and transition-bearing songs to 5,353; it adds 7,033 lines and 4,938 transitions. Total variation is 0.001789 and the switch rate falls by 0.001390 (counterfactual minus released, -0.001390); prediction models were not retrained.</w:t>
      </w:r>
    </w:p>
    <w:p>
      <w:pPr>
        <w:widowControl/>
        <w:spacing w:line="480" w:lineRule="auto" w:after="0"/>
        <w:ind w:firstLine="360"/>
      </w:pPr>
      <w:r>
        <w:rPr>
          <w:rFonts w:ascii="Courier New" w:hAnsi="Courier New" w:eastAsia="Courier New" w:cs="Courier New"/>
          <w:color w:val="000000"/>
          <w:sz w:val="23"/>
        </w:rPr>
        <w:t>pypinyin</w:t>
      </w:r>
      <w:r>
        <w:rPr>
          <w:rFonts w:ascii="Times New Roman" w:hAnsi="Times New Roman" w:eastAsia="Times New Roman" w:cs="Times New Roman"/>
          <w:color w:val="000000"/>
          <w:sz w:val="24"/>
        </w:rPr>
        <w:t xml:space="preserve"> 0.55.0 processes the complete Han sequence of each line using </w:t>
      </w:r>
      <w:r>
        <w:rPr>
          <w:rFonts w:ascii="Courier New" w:hAnsi="Courier New" w:eastAsia="Courier New" w:cs="Courier New"/>
          <w:color w:val="000000"/>
          <w:sz w:val="23"/>
        </w:rPr>
        <w:t>Style.FINALS_TONE3</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strict=True</w:t>
      </w:r>
      <w:r>
        <w:rPr>
          <w:rFonts w:ascii="Times New Roman" w:hAnsi="Times New Roman" w:eastAsia="Times New Roman" w:cs="Times New Roman"/>
          <w:color w:val="000000"/>
          <w:sz w:val="24"/>
        </w:rPr>
        <w:t>, and neutral tone 5. Full-line context allows the dictionary system to disambiguate some polyphones. The last and penultimate Han syllables provide strict pinyin finals, tones, a two-syllable family pattern, and one of 17 tone-free ending families: A, O, E, IE/ÜE, AI, EI, AO, OU, AN, EN, ANG, ENG, ONG, I, U, Ü, and ER. Tone is retained as a feature but not as part of the target class. These deterministic normalizations are analytical conveniences, not an official or performance-sensitive rhyme standard.</w:t>
      </w:r>
    </w:p>
    <w:p>
      <w:pPr>
        <w:pStyle w:val="Heading2"/>
      </w:pPr>
      <w:r>
        <w:t>7.2 Song-Level Split and Target Leakage Filter</w:t>
      </w:r>
    </w:p>
    <w:p>
      <w:pPr>
        <w:widowControl/>
        <w:spacing w:line="480" w:lineRule="auto" w:after="0"/>
      </w:pPr>
      <w:r>
        <w:rPr>
          <w:rFonts w:ascii="Times New Roman" w:hAnsi="Times New Roman" w:eastAsia="Times New Roman" w:cs="Times New Roman"/>
          <w:color w:val="000000"/>
          <w:sz w:val="24"/>
        </w:rPr>
        <w:t>Songs—including a song attached to more than one source label—are assigned globally to approximately 70/15/15 train/validation/test partitions by a deterministic multilabel-aware greedy algorithm followed by non-empty-partition repair. Every one of the 204 labels has at least one song in each split. The result is 3,951 training songs, 834 validation songs, and 834 test songs, with zero song overlap.</w:t>
      </w:r>
    </w:p>
    <w:p>
      <w:pPr>
        <w:widowControl/>
        <w:spacing w:line="480" w:lineRule="auto" w:after="0"/>
        <w:ind w:firstLine="360"/>
      </w:pPr>
      <w:r>
        <w:rPr>
          <w:rFonts w:ascii="Times New Roman" w:hAnsi="Times New Roman" w:eastAsia="Times New Roman" w:cs="Times New Roman"/>
          <w:color w:val="000000"/>
          <w:sz w:val="24"/>
        </w:rPr>
        <w:t>All normalized training lines, including first lines that are not prediction targets, form the validation leakage reference. Test targets are checked against the union of training and validation lines, so model-selection material cannot leak into final evaluation. An event is excluded when its target line exactly matches the relevant reference set or has verified character-trigram Jaccard similarity at least 0.80. Lines shorter than three normalized characters receive the exact check only. Validation filtering removes 944 targets (907 exact, 37 near), leaving 34,657 events. Test filtering removes 1,431 of 35,826 candidates (1,382 exact, 49 near), leaving 34,395 leakage-safe adjacent-line events from 787 songs. This is 96.01% end-to-end coverage of strict test candidates. Models never receive the target lyric text; filtering prevents copied or reissued lines from inflating sequence prediction.</w:t>
      </w:r>
    </w:p>
    <w:p>
      <w:pPr>
        <w:pStyle w:val="Heading2"/>
      </w:pPr>
      <w:r>
        <w:t>7.3 Baselines and Context Models</w:t>
      </w:r>
    </w:p>
    <w:p>
      <w:pPr>
        <w:widowControl/>
        <w:spacing w:line="480" w:lineRule="auto" w:after="0"/>
      </w:pPr>
      <w:r>
        <w:rPr>
          <w:rFonts w:ascii="Times New Roman" w:hAnsi="Times New Roman" w:eastAsia="Times New Roman" w:cs="Times New Roman"/>
          <w:color w:val="000000"/>
          <w:sz w:val="24"/>
        </w:rPr>
        <w:t>The target yₜ is the family of the next written-line ending. The global-frequency baseline uses add-one-smoothed target frequencies estimated from training. The first-order Markov baseline conditions on yₜ₋₁ and uses a global empirical-Bayes backoff of strength 20.</w:t>
      </w:r>
    </w:p>
    <w:p>
      <w:pPr>
        <w:widowControl/>
        <w:spacing w:line="480" w:lineRule="auto" w:after="0"/>
        <w:ind w:firstLine="360"/>
      </w:pPr>
      <w:r>
        <w:rPr>
          <w:rFonts w:ascii="Times New Roman" w:hAnsi="Times New Roman" w:eastAsia="Times New Roman" w:cs="Times New Roman"/>
          <w:color w:val="000000"/>
          <w:sz w:val="24"/>
        </w:rPr>
        <w:t xml:space="preserve">The flat context model is multinomial logistic regression implemented with </w:t>
      </w:r>
      <w:r>
        <w:rPr>
          <w:rFonts w:ascii="Courier New" w:hAnsi="Courier New" w:eastAsia="Courier New" w:cs="Courier New"/>
          <w:color w:val="000000"/>
          <w:sz w:val="23"/>
        </w:rPr>
        <w:t>SGDClassifier(loss='log_loss', average=True)</w:t>
      </w:r>
      <w:r>
        <w:rPr>
          <w:rFonts w:ascii="Times New Roman" w:hAnsi="Times New Roman" w:eastAsia="Times New Roman" w:cs="Times New Roman"/>
          <w:color w:val="000000"/>
          <w:sz w:val="24"/>
        </w:rPr>
        <w:t xml:space="preserve"> in scikit-learn (Pedregosa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2011). One-hot features comprise the source-credit label; previous four ending families; previous raw pinyin final and tone; previous two-syllable family pattern; previous transition; current same-family run bucket; line-position bucket; and recent family diversity. The fitted feature space contains 922 features.</w:t>
      </w:r>
    </w:p>
    <w:p>
      <w:pPr>
        <w:widowControl/>
        <w:spacing w:line="480" w:lineRule="auto" w:after="0"/>
        <w:ind w:firstLine="360"/>
      </w:pPr>
      <w:r>
        <w:rPr>
          <w:rFonts w:ascii="Times New Roman" w:hAnsi="Times New Roman" w:eastAsia="Times New Roman" w:cs="Times New Roman"/>
          <w:color w:val="000000"/>
          <w:sz w:val="24"/>
        </w:rPr>
        <w:t>The released hierarchical model factorizes the next-class distribution into a continuation decision and a switch distribution. Let c = yₜ₋₁, let xₜ denote the context, and let g(xₜ) = P(yₜ = c | xₜ). A second classifier estimates hₖ(xₜ) = P(yₜ = k | yₜ ≠ c, xₜ) for k ≠ c. Then</w:t>
      </w:r>
    </w:p>
    <w:p>
      <w:pPr>
        <w:spacing w:line="276" w:lineRule="auto" w:before="120" w:after="120"/>
        <w:jc w:val="center"/>
      </w:pPr>
      <w:r>
        <w:rPr>
          <w:rFonts w:ascii="Cambria Math" w:hAnsi="Cambria Math" w:eastAsia="Cambria Math" w:cs="Cambria Math"/>
          <w:i/>
          <w:color w:val="000000"/>
          <w:sz w:val="23"/>
        </w:rPr>
        <w:t>P(yₜ = k | xₜ) = g(xₜ), if k = c;    [1 − g(xₜ)]hₖ(xₜ), if k ≠ c.</w:t>
      </w:r>
    </w:p>
    <w:p>
      <w:pPr>
        <w:widowControl/>
        <w:spacing w:line="480" w:lineRule="auto" w:after="0"/>
        <w:ind w:firstLine="360"/>
      </w:pPr>
      <w:r>
        <w:rPr>
          <w:rFonts w:ascii="Times New Roman" w:hAnsi="Times New Roman" w:eastAsia="Times New Roman" w:cs="Times New Roman"/>
          <w:color w:val="000000"/>
          <w:sz w:val="24"/>
        </w:rPr>
        <w:t>The switch classifier cannot return the previous family. This structure corresponds to a meaningful lyrical decision—continue an ending pattern or move away—while retaining a ranked choice among alternatives. For both flat and hierarchical SGD models, regularization is selected from 10⁻⁵, 10⁻⁴, and 10⁻³ by validation MRR. Probability temperature is selected from 0.5, 0.75, 1, 1.25, 1.5, and 2 by validation NLL. The hierarchical model selects regularization 10⁻³ and temperature 1.0; no test result enters selection. An otherwise identical hierarchical model removes the source-credit-label feature. This held-out ablation tests whether label conditioning contributes beyond the sequential written-ending context; it is necessary before any personalization claim.</w:t>
      </w:r>
    </w:p>
    <w:p>
      <w:pPr>
        <w:pStyle w:val="Heading2"/>
      </w:pPr>
      <w:r>
        <w:t>7.4 Results</w:t>
      </w:r>
    </w:p>
    <w:p>
      <w:pPr>
        <w:widowControl/>
        <w:spacing w:line="480" w:lineRule="auto" w:after="0"/>
      </w:pPr>
      <w:r>
        <w:rPr>
          <w:rFonts w:ascii="Times New Roman" w:hAnsi="Times New Roman" w:eastAsia="Times New Roman" w:cs="Times New Roman"/>
          <w:color w:val="000000"/>
          <w:sz w:val="24"/>
        </w:rPr>
        <w:t>The global-frequency model achieves MRR 0.314 and top-5 accuracy 0.462. Conditioning only on the previous ending family produces the largest gain: the Markov baseline reaches MRR 0.608 and top-5 accuracy 0.729. The flat logistic context model reaches MRR 0.627 and top-5 0.773. The validation-selected hierarchical model reaches MRR 0.628 (95% CI 0.618–0.638), top-3 accuracy 0.695 (0.685–0.705), and top-5 accuracy 0.775 (0.767–0.782). Macro estimates across the 201 labels with at least 20 leakage-safe test events are similar (MRR 0.631, top-5 0.775), indicating that the result is not solely driven by the largest repertoires. Table 4 gives the complete benchmark, while Figure 4 makes the continuation-versus-switch asymmetry and the null source-label ablation visible.</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8"/>
      </w:tblGrid>
      <w:tr>
        <w:trPr>
          <w:cantSplit/>
          <w:tblHeader w:val="true"/>
        </w:trPr>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Model</w:t>
            </w:r>
          </w:p>
        </w:tc>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Top-1</w:t>
            </w:r>
          </w:p>
        </w:tc>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Top-3</w:t>
            </w:r>
          </w:p>
        </w:tc>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Top-5</w:t>
            </w:r>
          </w:p>
        </w:tc>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MRR</w:t>
            </w:r>
          </w:p>
        </w:tc>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NLL</w:t>
            </w:r>
          </w:p>
        </w:tc>
        <w:tc>
          <w:tcPr>
            <w:tcW w:type="dxa" w:w="133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ECE</w:t>
            </w:r>
          </w:p>
        </w:tc>
      </w:tr>
      <w:tr>
        <w:trPr>
          <w:cantSplit/>
        </w:trPr>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Global frequency</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0.146 [0.137, 0.154]</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0.328 [0.318, 0.339]</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0.462 [0.450, 0.474]</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0.314 [0.307, 0.321]</w:t>
            </w:r>
          </w:p>
        </w:tc>
        <w:tc>
          <w:tcPr>
            <w:tcW w:type="dxa" w:w="133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2.689</w:t>
            </w:r>
          </w:p>
        </w:tc>
        <w:tc>
          <w:tcPr>
            <w:tcW w:type="dxa" w:w="13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0.0008</w:t>
            </w:r>
          </w:p>
        </w:tc>
      </w:tr>
      <w:tr>
        <w:trPr>
          <w:cantSplit/>
        </w:trPr>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First-order Markov</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0.496 [0.483, 0.509]</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0.646 [0.634, 0.657]</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0.729 [0.718, 0.739]</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0.608 [0.597, 0.619]</w:t>
            </w:r>
          </w:p>
        </w:tc>
        <w:tc>
          <w:tcPr>
            <w:tcW w:type="dxa" w:w="133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1.978</w:t>
            </w:r>
          </w:p>
        </w:tc>
        <w:tc>
          <w:tcPr>
            <w:tcW w:type="dxa" w:w="13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0.0123</w:t>
            </w:r>
          </w:p>
        </w:tc>
      </w:tr>
      <w:tr>
        <w:trPr>
          <w:cantSplit/>
        </w:trPr>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Flat SGD context</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0.498 [0.486, 0.511]</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0.694 [0.684, 0.704]</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0.773 [0.766, 0.781]</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0.627 [0.618, 0.637]</w:t>
            </w:r>
          </w:p>
        </w:tc>
        <w:tc>
          <w:tcPr>
            <w:tcW w:type="dxa" w:w="133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1.895</w:t>
            </w:r>
          </w:p>
        </w:tc>
        <w:tc>
          <w:tcPr>
            <w:tcW w:type="dxa" w:w="13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0.0314</w:t>
            </w:r>
          </w:p>
        </w:tc>
      </w:tr>
      <w:tr>
        <w:trPr>
          <w:cantSplit/>
        </w:trPr>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Hierarchical SGD context</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0.498 [0.486, 0.511]</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0.695 [0.685, 0.705]</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0.775 [0.767, 0.782]</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0.628 [0.618, 0.638]</w:t>
            </w:r>
          </w:p>
        </w:tc>
        <w:tc>
          <w:tcPr>
            <w:tcW w:type="dxa" w:w="133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1.869</w:t>
            </w:r>
          </w:p>
        </w:tc>
        <w:tc>
          <w:tcPr>
            <w:tcW w:type="dxa" w:w="13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0.0140</w:t>
            </w:r>
          </w:p>
        </w:tc>
      </w:tr>
      <w:tr>
        <w:trPr>
          <w:cantSplit/>
        </w:trPr>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Hierarchical SGD without source label</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0.498 [0.485, 0.511]</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0.695 [0.685, 0.704]</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0.775 [0.767, 0.783]</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0.628 [0.618, 0.638]</w:t>
            </w:r>
          </w:p>
        </w:tc>
        <w:tc>
          <w:tcPr>
            <w:tcW w:type="dxa" w:w="133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1.872</w:t>
            </w:r>
          </w:p>
        </w:tc>
        <w:tc>
          <w:tcPr>
            <w:tcW w:type="dxa" w:w="13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0.0116</w:t>
            </w:r>
          </w:p>
        </w:tc>
      </w:tr>
    </w:tbl>
    <w:p>
      <w:pPr>
        <w:spacing w:after="20" w:line="240" w:lineRule="auto"/>
      </w:pPr>
    </w:p>
    <w:p>
      <w:pPr>
        <w:pStyle w:val="Caption"/>
        <w:keepNext w:val="0"/>
      </w:pPr>
      <w:r>
        <w:rPr>
          <w:rFonts w:ascii="Times New Roman" w:hAnsi="Times New Roman" w:eastAsia="Times New Roman" w:cs="Times New Roman"/>
          <w:color w:val="000000"/>
          <w:sz w:val="20"/>
        </w:rPr>
        <w:t>Table 4 Song-held-out results on 34,395 leakage-safe, originally adjacent test events from 787 songs. Brackets are song-cluster bootstrap 95% intervals (2,000 replicates). All five systems have full prediction coverage.</w:t>
      </w:r>
    </w:p>
    <w:p>
      <w:pPr>
        <w:widowControl/>
        <w:spacing w:line="480" w:lineRule="auto" w:after="0"/>
        <w:ind w:firstLine="360"/>
      </w:pPr>
      <w:r>
        <w:rPr>
          <w:rFonts w:ascii="Times New Roman" w:hAnsi="Times New Roman" w:eastAsia="Times New Roman" w:cs="Times New Roman"/>
          <w:color w:val="000000"/>
          <w:sz w:val="24"/>
        </w:rPr>
        <w:t>Relative to Markov, the hierarchical model improves MRR by 0.0198 (paired CI 0.0177–0.0220), top-3 by 0.0498 (0.0445–0.0551), top-5 by 0.0457 (0.0408–0.0509), and top-1 by 0.0022 (0.0008–0.0038). Its advantage over the flat context model is far smaller: only the top-3 interval is narrowly positive (+0.0017, 0.0001–0.0033); top-1, top-5, and MRR intervals include zero. The hierarchy is therefore useful chiefly as an interpretable continuation-versus-switch factorization, not as evidence of a large gain over a flat classifier.</w:t>
      </w:r>
    </w:p>
    <w:p>
      <w:pPr>
        <w:widowControl/>
        <w:spacing w:line="480" w:lineRule="auto" w:after="0"/>
        <w:ind w:firstLine="360"/>
      </w:pPr>
      <w:r>
        <w:rPr>
          <w:rFonts w:ascii="Times New Roman" w:hAnsi="Times New Roman" w:eastAsia="Times New Roman" w:cs="Times New Roman"/>
          <w:color w:val="000000"/>
          <w:sz w:val="24"/>
        </w:rPr>
        <w:t>Stratified results expose the task's main asymmetry. Continuation events are easy for the Markov model (top-1 0.992), while switch events remain difficult (0.016). The hierarchical model retains high continuation performance (top-1 0.985) and improves switch top-3 accuracy to 0.400, compared with 0.302 for Markov; its switch top-1 remains only 0.026. Repeated hooks do not solely explain the result: on non-repeated targets the hierarchical model still reaches top-1 0.490, top-3 0.683, and MRR 0.619. The application should therefore present multiple plausible next families, especially for an intended switch, rather than one supposedly correct rhyme.</w:t>
      </w:r>
    </w:p>
    <w:p>
      <w:pPr>
        <w:pStyle w:val="Heading2"/>
      </w:pPr>
      <w:r>
        <w:t>7.5 Selective Abstention and Recommendation</w:t>
      </w:r>
    </w:p>
    <w:p>
      <w:pPr>
        <w:widowControl/>
        <w:spacing w:line="480" w:lineRule="auto" w:after="0"/>
      </w:pPr>
      <w:r>
        <w:rPr>
          <w:rFonts w:ascii="Times New Roman" w:hAnsi="Times New Roman" w:eastAsia="Times New Roman" w:cs="Times New Roman"/>
          <w:color w:val="000000"/>
          <w:sz w:val="24"/>
        </w:rPr>
        <w:t>Confidence thresholds are fixed from validation quantiles targeting 75%, 50%, and 25% coverage and then applied once to test. At full leakage-safe coverage, top-1 accuracy is 0.498. The nominal 75% threshold yields coverage 0.745 and accepted-event top-1 0.558; nominal 50% yields coverage 0.499 and top-1 0.611; nominal 25% yields coverage 0.244 and top-1 0.659. At the illustrative balanced 50% operating point, accepted-event top-3 is 0.736 and MRR is 0.701; coverage is 0.479 when the 1,431 leakage-filtered test candidates are retained in the denominator. Abstention therefore provides an explicit reliability–coverage trade-off rather than hiding weak contexts.</w:t>
      </w:r>
    </w:p>
    <w:p>
      <w:pPr>
        <w:widowControl/>
        <w:spacing w:line="480" w:lineRule="auto" w:after="0"/>
        <w:ind w:firstLine="360"/>
      </w:pPr>
      <w:r>
        <w:rPr>
          <w:rFonts w:ascii="Times New Roman" w:hAnsi="Times New Roman" w:eastAsia="Times New Roman" w:cs="Times New Roman"/>
          <w:color w:val="000000"/>
          <w:sz w:val="24"/>
        </w:rPr>
        <w:t xml:space="preserve">The public recommender releases global, Markov, and common aggregate ML contexts. It returns ending </w:t>
      </w:r>
      <w:r>
        <w:rPr>
          <w:rFonts w:ascii="Times New Roman" w:hAnsi="Times New Roman" w:eastAsia="Times New Roman" w:cs="Times New Roman"/>
          <w:i/>
          <w:color w:val="000000"/>
          <w:sz w:val="24"/>
        </w:rPr>
        <w:t>families</w:t>
      </w:r>
      <w:r>
        <w:rPr>
          <w:rFonts w:ascii="Times New Roman" w:hAnsi="Times New Roman" w:eastAsia="Times New Roman" w:cs="Times New Roman"/>
          <w:color w:val="000000"/>
          <w:sz w:val="24"/>
        </w:rPr>
        <w:t>, not lyric lines, words, or finished rap. A useful interface can show the top families, whether the previous class is being continued or switched, validation-defined confidence status, and descriptive label-level fingerprints. Crucially, removing the source-credit-label feature changes top-1 by only +0.0004, top-3 by +0.0007, and MRR by +0.0005 in favor of the labelled model, with all paired intervals crossing zero. The interface must not claim that rapper-label personalization improves prediction; it can only expose label-conditioned outputs as descriptive or experimental. It cannot prescribe quality or performed delivery.</w:t>
      </w:r>
    </w:p>
    <w:p>
      <w:pPr>
        <w:widowControl/>
        <w:spacing w:line="480" w:lineRule="auto" w:after="0"/>
        <w:ind w:firstLine="360"/>
      </w:pPr>
      <w:r>
        <w:rPr>
          <w:rFonts w:ascii="Times New Roman" w:hAnsi="Times New Roman" w:eastAsia="Times New Roman" w:cs="Times New Roman"/>
          <w:color w:val="000000"/>
          <w:sz w:val="24"/>
        </w:rPr>
        <w:t xml:space="preserve">An external MuChin implementation check (Wang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aligns 44,980 written lines and yields F1 0.931 and Matthews correlation 0.541 against exported same-family markers. Because the annotation interface itself grouped pinyin families and the export collapses class identity, this partially circular check is excluded from selection and is neither independent gold nor audio validation; full details appear in the supplement.</w:t>
      </w:r>
    </w:p>
    <w:p>
      <w:pPr>
        <w:pStyle w:val="Heading1"/>
      </w:pPr>
      <w:r>
        <w:t>8. Integrated Lyrical-Repertoire Profiles</w:t>
      </w:r>
    </w:p>
    <w:p>
      <w:pPr>
        <w:widowControl/>
        <w:spacing w:line="480" w:lineRule="auto" w:after="0"/>
      </w:pPr>
      <w:r>
        <w:rPr>
          <w:rFonts w:ascii="Times New Roman" w:hAnsi="Times New Roman" w:eastAsia="Times New Roman" w:cs="Times New Roman"/>
          <w:color w:val="000000"/>
          <w:sz w:val="24"/>
        </w:rPr>
        <w:t>The three tasks should be joined only at the aggregate source-label level and only with their evidence statuses intact. A profile has three separate questions:</w:t>
      </w:r>
    </w:p>
    <w:p>
      <w:pPr>
        <w:pStyle w:val="ListBullet"/>
        <w:spacing w:line="480" w:lineRule="auto" w:after="0"/>
      </w:pPr>
      <w:r>
        <w:rPr>
          <w:rFonts w:ascii="Times New Roman" w:hAnsi="Times New Roman" w:eastAsia="Times New Roman" w:cs="Times New Roman"/>
          <w:b/>
          <w:color w:val="000000"/>
          <w:sz w:val="24"/>
        </w:rPr>
        <w:t>What does a held-out song resemble?</w:t>
      </w:r>
      <w:r>
        <w:rPr>
          <w:rFonts w:ascii="Times New Roman" w:hAnsi="Times New Roman" w:eastAsia="Times New Roman" w:cs="Times New Roman"/>
          <w:color w:val="000000"/>
          <w:sz w:val="24"/>
        </w:rPr>
        <w:t xml:space="preserve"> The strict dense–lexical retrieval model supplies ranked repertoire evidence and label-level reliability, not personal similarity.</w:t>
      </w:r>
    </w:p>
    <w:p>
      <w:pPr>
        <w:pStyle w:val="ListBullet"/>
        <w:spacing w:line="480" w:lineRule="auto" w:after="0"/>
      </w:pPr>
      <w:r>
        <w:rPr>
          <w:rFonts w:ascii="Times New Roman" w:hAnsi="Times New Roman" w:eastAsia="Times New Roman" w:cs="Times New Roman"/>
          <w:b/>
          <w:color w:val="000000"/>
          <w:sz w:val="24"/>
        </w:rPr>
        <w:t>Which named cultural worlds appear?</w:t>
      </w:r>
      <w:r>
        <w:rPr>
          <w:rFonts w:ascii="Times New Roman" w:hAnsi="Times New Roman" w:eastAsia="Times New Roman" w:cs="Times New Roman"/>
          <w:color w:val="000000"/>
          <w:sz w:val="24"/>
        </w:rPr>
        <w:t xml:space="preserve"> Reviewed or explicitly provisional entity links supply typed places, people, languages, groups, brands, works, or events, not biography or preference.</w:t>
      </w:r>
    </w:p>
    <w:p>
      <w:pPr>
        <w:pStyle w:val="ListBullet"/>
        <w:spacing w:line="480" w:lineRule="auto" w:after="0"/>
      </w:pPr>
      <w:r>
        <w:rPr>
          <w:rFonts w:ascii="Times New Roman" w:hAnsi="Times New Roman" w:eastAsia="Times New Roman" w:cs="Times New Roman"/>
          <w:b/>
          <w:color w:val="000000"/>
          <w:sz w:val="24"/>
        </w:rPr>
        <w:t>How do written endings tend to proceed?</w:t>
      </w:r>
      <w:r>
        <w:rPr>
          <w:rFonts w:ascii="Times New Roman" w:hAnsi="Times New Roman" w:eastAsia="Times New Roman" w:cs="Times New Roman"/>
          <w:color w:val="000000"/>
          <w:sz w:val="24"/>
        </w:rPr>
        <w:t xml:space="preserve"> Descriptive fingerprints and the continuation model supply recurring ending families and possible next-family transitions, not performed flow.</w:t>
      </w:r>
    </w:p>
    <w:p>
      <w:pPr>
        <w:widowControl/>
        <w:spacing w:line="480" w:lineRule="auto" w:after="0"/>
        <w:ind w:firstLine="360"/>
      </w:pPr>
      <w:r>
        <w:rPr>
          <w:rFonts w:ascii="Times New Roman" w:hAnsi="Times New Roman" w:eastAsia="Times New Roman" w:cs="Times New Roman"/>
          <w:color w:val="000000"/>
          <w:sz w:val="24"/>
        </w:rPr>
        <w:t>The present integration is asymmetric because the NER layer remains provisional. Retrieval and written-ending prediction have held-out test results; cultural entities have reproducibility gates and a path to gold but not accuracy. The profile must display that difference at the point of use. This is preferable to either omitting a promising cultural-reference task or overstating it as complete.</w:t>
      </w:r>
    </w:p>
    <w:p>
      <w:pPr>
        <w:pStyle w:val="Heading1"/>
      </w:pPr>
      <w:r>
        <w:t>9. Discussion</w:t>
      </w:r>
    </w:p>
    <w:p>
      <w:pPr>
        <w:pStyle w:val="Heading2"/>
      </w:pPr>
      <w:r>
        <w:t>9.1 What BGE-M3 Adds after Evaluation</w:t>
      </w:r>
    </w:p>
    <w:p>
      <w:pPr>
        <w:widowControl/>
        <w:spacing w:line="480" w:lineRule="auto" w:after="0"/>
      </w:pPr>
      <w:r>
        <w:rPr>
          <w:rFonts w:ascii="Times New Roman" w:hAnsi="Times New Roman" w:eastAsia="Times New Roman" w:cs="Times New Roman"/>
          <w:color w:val="000000"/>
          <w:sz w:val="24"/>
        </w:rPr>
        <w:t>RQ1 receives a clear but qualified answer. BGE-M3 is not the strongest standalone system for corpus source-label retrieval; character TF–IDF performs better. Dense representation is still useful because standardized fusion improves all primary metrics over TF–IDF with positive paired intervals. The result supports complementarity between distributional semantics and character-form evidence, not dense-model supremacy.</w:t>
      </w:r>
    </w:p>
    <w:p>
      <w:pPr>
        <w:widowControl/>
        <w:spacing w:line="480" w:lineRule="auto" w:after="0"/>
        <w:ind w:firstLine="360"/>
      </w:pPr>
      <w:r>
        <w:rPr>
          <w:rFonts w:ascii="Times New Roman" w:hAnsi="Times New Roman" w:eastAsia="Times New Roman" w:cs="Times New Roman"/>
          <w:color w:val="000000"/>
          <w:sz w:val="24"/>
        </w:rPr>
        <w:t>The post-embedding design is the main methodological contribution. Whole-song holdout converts vectors into a testable task. Cross-label shared-text exclusion and duplicate-component holdout prevent repeated material from masquerading as generalizable identity. Per-label macro aggregation changes the estimand from “average song in the corpus” to “average repertoire label”. The paired two-stage bootstrap attaches uncertainty to both scores and differences. Without these decisions, an embedding map could not answer whether a held-out song is recognizably consistent with a repertoire inside the frozen corpus.</w:t>
      </w:r>
    </w:p>
    <w:p>
      <w:pPr>
        <w:widowControl/>
        <w:spacing w:line="480" w:lineRule="auto" w:after="0"/>
        <w:ind w:firstLine="360"/>
      </w:pPr>
      <w:r>
        <w:rPr>
          <w:rFonts w:ascii="Times New Roman" w:hAnsi="Times New Roman" w:eastAsia="Times New Roman" w:cs="Times New Roman"/>
          <w:color w:val="000000"/>
          <w:sz w:val="24"/>
        </w:rPr>
        <w:t>The remaining interpretive limit is fundamental. Dense and lexical evidence may encode topic, names, register, formulaic language, or writing habits. We therefore avoid “pure style”. Future ablations can mask reviewed entities, remove high-keyness surface features, or isolate writing-form channels, but these would be probes of dependency, not causal decomposition of the encoder.</w:t>
      </w:r>
    </w:p>
    <w:p>
      <w:pPr>
        <w:pStyle w:val="Heading2"/>
      </w:pPr>
      <w:r>
        <w:t>9.2 What NER Adds beyond Search</w:t>
      </w:r>
    </w:p>
    <w:p>
      <w:pPr>
        <w:widowControl/>
        <w:spacing w:line="480" w:lineRule="auto" w:after="0"/>
      </w:pPr>
      <w:r>
        <w:rPr>
          <w:rFonts w:ascii="Times New Roman" w:hAnsi="Times New Roman" w:eastAsia="Times New Roman" w:cs="Times New Roman"/>
          <w:color w:val="000000"/>
          <w:sz w:val="24"/>
        </w:rPr>
        <w:t>NER is useful when it normalizes spans into types, distinguishes ambiguous candidates, aggregates duplicate-controlled support, and creates edges with explicit meanings. Literal search alone can find a string; it cannot decide whether 中南海 is a location, political metonym, or brand in a particular context, nor can it validly aggregate the string into a cultural network. The current pilot demonstrates both the promise and the limit. Cross-method agreement and audit rules produce a small provisional layer, while ambiguous cases are withheld.</w:t>
      </w:r>
    </w:p>
    <w:p>
      <w:pPr>
        <w:widowControl/>
        <w:spacing w:line="480" w:lineRule="auto" w:after="0"/>
        <w:ind w:firstLine="360"/>
      </w:pPr>
      <w:r>
        <w:rPr>
          <w:rFonts w:ascii="Times New Roman" w:hAnsi="Times New Roman" w:eastAsia="Times New Roman" w:cs="Times New Roman"/>
          <w:color w:val="000000"/>
          <w:sz w:val="24"/>
        </w:rPr>
        <w:t xml:space="preserve">RQ2 is therefore answered in terms of readiness, leakage sensitivity, and statistically supported aggregate association rather than extraction accuracy. The frozen corpuswide inventory of 33 surfaces contracts to 22 after cross-label shared-text exclusion and the fixed graph universe are applied. The old support/lift-only 85 repertoire links contract first to 40 under the same shared-text control and then to six under song-unit uncertainty and BH-FDR; four entity co-mentions survive the corrected all-song denominator and multiplicity gate. None is human occurrence gold. The 800-item corpuswide design and unreviewed 157-occurrence released-claim audit are the next required empirical steps. Only after adjudication can strict-span micro precision/recall/F1, per-type support, boundary/type errors, inter-annotator agreement, and external uncertainty be reported. Network centrality should remain withheld until error by type and support is understood, because extraction bias can become cultural visibility bias (Lassen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w:t>
      </w:r>
    </w:p>
    <w:p>
      <w:pPr>
        <w:pStyle w:val="Heading2"/>
      </w:pPr>
      <w:r>
        <w:t>9.3 What Written-Ending Prediction Adds</w:t>
      </w:r>
    </w:p>
    <w:p>
      <w:pPr>
        <w:widowControl/>
        <w:spacing w:line="480" w:lineRule="auto" w:after="0"/>
      </w:pPr>
      <w:r>
        <w:rPr>
          <w:rFonts w:ascii="Times New Roman" w:hAnsi="Times New Roman" w:eastAsia="Times New Roman" w:cs="Times New Roman"/>
          <w:color w:val="000000"/>
          <w:sz w:val="24"/>
        </w:rPr>
        <w:t>RQ3 shows that immediate sequence context is powerful: first-order Markov modeling accounts for much of the gain over global frequency. Broader context then improves ranked multi-choice prediction by about five percentage points at top-3 relative to Markov. The hierarchical continuation/switch model performs almost identically to the flat context classifier on most paired metrics; its justification is an interpretable decision structure and favorable descriptive NLL/ECE, not a dramatic accuracy claim. The no-source-label ablation is equally consequential: the present data do not show that adding a corpus credit label improves prediction. A rapper-specific predictive claim would therefore be unsupported.</w:t>
      </w:r>
    </w:p>
    <w:p>
      <w:pPr>
        <w:widowControl/>
        <w:spacing w:line="480" w:lineRule="auto" w:after="0"/>
        <w:ind w:firstLine="360"/>
      </w:pPr>
      <w:r>
        <w:rPr>
          <w:rFonts w:ascii="Times New Roman" w:hAnsi="Times New Roman" w:eastAsia="Times New Roman" w:cs="Times New Roman"/>
          <w:color w:val="000000"/>
          <w:sz w:val="24"/>
        </w:rPr>
        <w:t>Selective abstention turns this model into a more honest instrument. A user can choose leakage-safe coverage near 0.50 and receive top-1 accuracy near 0.61 and top-3 near 0.74 on accepted events, or require greater selectivity and approach top-1 0.66 at coverage near 0.24. The severe switch-event gap remains visible at the point of use. The product is not a rap generator. It is an evidence-backed next-ending-family assistant that can support close reading or constrained writing while leaving lexical choice and performance to the user.</w:t>
      </w:r>
    </w:p>
    <w:p>
      <w:pPr>
        <w:pStyle w:val="Heading2"/>
      </w:pPr>
      <w:r>
        <w:t>9.4 General Lesson for Digital Humanities</w:t>
      </w:r>
    </w:p>
    <w:p>
      <w:pPr>
        <w:widowControl/>
        <w:spacing w:line="480" w:lineRule="auto" w:after="0"/>
      </w:pPr>
      <w:r>
        <w:rPr>
          <w:rFonts w:ascii="Times New Roman" w:hAnsi="Times New Roman" w:eastAsia="Times New Roman" w:cs="Times New Roman"/>
          <w:color w:val="000000"/>
          <w:sz w:val="24"/>
        </w:rPr>
        <w:t xml:space="preserve">RQ4 is methodological rather than a single scalar result. A culturally meaningful computational profile is multi-layered and evidence-graded. Semantic retrieval, named-reference networks, and phonetic-form proxies should not be collapsed into one unexplained edge weight. Their disagreements are analytically useful: a pair may be retrievably similar without sharing provisional named references; two repertoires may reference the same places but differ in written-ending patterns. Such discrepancies can guide close reading, following the broader argument for multi-layer literary networks (Rafaeli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2026).</w:t>
      </w:r>
    </w:p>
    <w:p>
      <w:pPr>
        <w:widowControl/>
        <w:spacing w:line="480" w:lineRule="auto" w:after="0"/>
        <w:ind w:firstLine="360"/>
      </w:pPr>
      <w:r>
        <w:rPr>
          <w:rFonts w:ascii="Times New Roman" w:hAnsi="Times New Roman" w:eastAsia="Times New Roman" w:cs="Times New Roman"/>
          <w:color w:val="000000"/>
          <w:sz w:val="24"/>
        </w:rPr>
        <w:t>The framework is transferable when representation, target, leakage control, baseline, inferential unit, typed explanation, and abstention are aligned with the scholarly question.</w:t>
      </w:r>
    </w:p>
    <w:p>
      <w:pPr>
        <w:pStyle w:val="Heading1"/>
      </w:pPr>
      <w:r>
        <w:t>10. Limitations, Ethics, and Copyright</w:t>
      </w:r>
    </w:p>
    <w:p>
      <w:pPr>
        <w:widowControl/>
        <w:spacing w:line="480" w:lineRule="auto" w:after="0"/>
      </w:pPr>
      <w:r>
        <w:rPr>
          <w:rFonts w:ascii="Times New Roman" w:hAnsi="Times New Roman" w:eastAsia="Times New Roman" w:cs="Times New Roman"/>
          <w:color w:val="000000"/>
          <w:sz w:val="24"/>
        </w:rPr>
        <w:t>The corpus is a collected sample rather than a census of Chinese rap. Its source platforms, acquisition route and dates, temporal coverage, sampling frame, transcription origin, and rights or ethics basis are not documented in the supplied export and must be established by the dataset owner before submission. These unknowns, together with repertoire size and missing material, can bias which labels and references are visible. Source-credit labels are not globally identity-resolved and may include aliases, groups, collaborations, or metadata errors. No text-derived result establishes hometown, belief, cultural membership, collaboration, influence, friendship, or affiliation.</w:t>
      </w:r>
    </w:p>
    <w:p>
      <w:pPr>
        <w:widowControl/>
        <w:spacing w:line="480" w:lineRule="auto" w:after="0"/>
        <w:ind w:firstLine="360"/>
      </w:pPr>
      <w:r>
        <w:rPr>
          <w:rFonts w:ascii="Times New Roman" w:hAnsi="Times New Roman" w:eastAsia="Times New Roman" w:cs="Times New Roman"/>
          <w:color w:val="000000"/>
          <w:sz w:val="24"/>
        </w:rPr>
        <w:t>Retrieval relevance comes from corpus provenance, not independent human judgments of semantic similarity. TF–IDF is transductive to the fixed unlabeled evaluation corpus. Near-duplicate detection uses one threshold and cannot find every paraphrase or lightly edited hook. BGE-M3 remains difficult to explain at token level, and fusion does not disentangle topic from style.</w:t>
      </w:r>
    </w:p>
    <w:p>
      <w:pPr>
        <w:widowControl/>
        <w:spacing w:line="480" w:lineRule="auto" w:after="0"/>
        <w:ind w:firstLine="360"/>
      </w:pPr>
      <w:r>
        <w:rPr>
          <w:rFonts w:ascii="Times New Roman" w:hAnsi="Times New Roman" w:eastAsia="Times New Roman" w:cs="Times New Roman"/>
          <w:color w:val="000000"/>
          <w:sz w:val="24"/>
        </w:rPr>
        <w:t>The NER layer has the strongest current limitation: no completed occurrence-level human gold. Literal matching is context-insensitive, the CKIP model is general-domain and Traditional-Chinese-oriented, confidence is uncalibrated on Chinese rap, and agreement gates favor conventional place and language names over creative spellings, slang, brands, works, or rap-culture concepts. The provisional graph may therefore underrepresent precisely the innovative references that make the domain important. Dual review and per-type evaluation are prerequisites for stronger claims.</w:t>
      </w:r>
    </w:p>
    <w:p>
      <w:pPr>
        <w:widowControl/>
        <w:spacing w:line="480" w:lineRule="auto" w:after="0"/>
        <w:ind w:firstLine="360"/>
      </w:pPr>
      <w:r>
        <w:rPr>
          <w:rFonts w:ascii="Times New Roman" w:hAnsi="Times New Roman" w:eastAsia="Times New Roman" w:cs="Times New Roman"/>
          <w:color w:val="000000"/>
          <w:sz w:val="24"/>
        </w:rPr>
        <w:t xml:space="preserve">Written rhyme is inferred from dictionary pinyin applied to transcribed line endings. Contextual dictionary conversion cannot resolve every polyphone, dialectal or regional pronunciation, performance elision, internal rhyme, stress, cadence, or beat alignment. Regional and cross-language realization can make different dictionary families rhyme in performance, while audio-based tone and flow remain unobserved (Liu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Wang and Lin 2024). The strict estimand excludes code-switched and other non-Han terminal characters, so it does not describe every line in the corpus. Repeats retain original adjacency only inside chunks surviving legacy deduplication; the non-repeat sensitivity supports the frozen result. The counterfactual supports aggregate family shares and switch rate, not unretrained prediction metrics. Ending-family prediction must not be described as performed rhyme or flow.</w:t>
      </w:r>
    </w:p>
    <w:p>
      <w:pPr>
        <w:widowControl/>
        <w:spacing w:line="480" w:lineRule="auto" w:after="0"/>
        <w:ind w:firstLine="360"/>
      </w:pPr>
      <w:r>
        <w:rPr>
          <w:rFonts w:ascii="Times New Roman" w:hAnsi="Times New Roman" w:eastAsia="Times New Roman" w:cs="Times New Roman"/>
          <w:color w:val="000000"/>
          <w:sz w:val="24"/>
        </w:rPr>
        <w:t>Copyright and privacy constrain release. Public artifacts contain aggregate evidence and short analytic tokens, but no full lyrics, line text, private row identifiers, vectors, membership rows, or reviewer contexts. Researchers with lawful access can reproduce the builders against file-level checksums; copyrighted lyrics are not redistributed.</w:t>
      </w:r>
    </w:p>
    <w:p>
      <w:pPr>
        <w:pStyle w:val="Heading1"/>
      </w:pPr>
      <w:r>
        <w:t>11. Conclusion</w:t>
      </w:r>
    </w:p>
    <w:p>
      <w:pPr>
        <w:widowControl/>
        <w:spacing w:line="480" w:lineRule="auto" w:after="0"/>
      </w:pPr>
      <w:r>
        <w:rPr>
          <w:rFonts w:ascii="Times New Roman" w:hAnsi="Times New Roman" w:eastAsia="Times New Roman" w:cs="Times New Roman"/>
          <w:color w:val="000000"/>
          <w:sz w:val="24"/>
        </w:rPr>
        <w:t>This study turns one Chinese-rap lyric corpus into three bounded downstream results. Strict held-out-song retrieval shows that BGE-M3 adds value when fused with character TF–IDF, even though it is weaker alone. The NER pilot produces a typed, conservative provisional cultural-reference layer while making the missing human gold impossible to overlook. Context models improve ranked next-written-ending prediction over a Markov baseline and expose a usable reliability–coverage trade-off through abstention, while a label ablation prevents an unsupported personalization claim.</w:t>
      </w:r>
    </w:p>
    <w:p>
      <w:pPr>
        <w:widowControl/>
        <w:spacing w:line="480" w:lineRule="auto" w:after="0"/>
        <w:ind w:firstLine="360"/>
      </w:pPr>
      <w:r>
        <w:rPr>
          <w:rFonts w:ascii="Times New Roman" w:hAnsi="Times New Roman" w:eastAsia="Times New Roman" w:cs="Times New Roman"/>
          <w:color w:val="000000"/>
          <w:sz w:val="24"/>
        </w:rPr>
        <w:t>The broader result is a standard for moving from representation to evidence. Embeddings become scholarly objects only after the downstream target, leakage controls, baselines, uncertainty, explanation, and claim boundary are specified. For Chinese rap, this yields a coherent account of lyrical repertoire through language, named cultural reference, and written-line form—without reducing the culture to an unexplained map or converting textual association into unsupported biography.</w:t>
      </w:r>
    </w:p>
    <w:p>
      <w:pPr>
        <w:pStyle w:val="Heading1"/>
      </w:pPr>
      <w:r>
        <w:t>Data Availability</w:t>
      </w:r>
    </w:p>
    <w:p>
      <w:pPr>
        <w:widowControl/>
        <w:spacing w:line="480" w:lineRule="auto" w:after="0"/>
      </w:pPr>
      <w:r>
        <w:rPr>
          <w:rFonts w:ascii="Times New Roman" w:hAnsi="Times New Roman" w:eastAsia="Times New Roman" w:cs="Times New Roman"/>
          <w:color w:val="000000"/>
          <w:sz w:val="24"/>
        </w:rPr>
        <w:t>Copyright-safe aggregate outputs, the original method contract, formal PD-001 and PD-002 amendments, corpus-reconciliation results, validation manifests, annotation materials, model builders, and figure-source tables are maintained at https://github.com/Mo119m/chinese-rap-embeddings-to-evidence. The public package excludes lyric text, full lines, song/chunk identifiers, row-level lyric-content hashes, embeddings, membership rows, and reviewer contexts. The private corpus is not redistributed. File-level checksums and deterministic audits support reproduction by researchers with lawful access. [Archival DOI to be added before submission.]</w:t>
      </w:r>
    </w:p>
    <w:p>
      <w:pPr>
        <w:pStyle w:val="Heading1"/>
      </w:pPr>
      <w:r>
        <w:t>Funding</w:t>
      </w:r>
    </w:p>
    <w:p>
      <w:pPr>
        <w:widowControl/>
        <w:spacing w:line="480" w:lineRule="auto" w:after="0"/>
      </w:pPr>
      <w:r>
        <w:rPr>
          <w:rFonts w:ascii="Times New Roman" w:hAnsi="Times New Roman" w:eastAsia="Times New Roman" w:cs="Times New Roman"/>
          <w:color w:val="000000"/>
          <w:sz w:val="24"/>
        </w:rPr>
        <w:t>[To be completed by the authors; state “None” if applicable.]</w:t>
      </w:r>
    </w:p>
    <w:p>
      <w:pPr>
        <w:pStyle w:val="Heading1"/>
      </w:pPr>
      <w:r>
        <w:t>Conflict of Interest</w:t>
      </w:r>
    </w:p>
    <w:p>
      <w:pPr>
        <w:widowControl/>
        <w:spacing w:line="480" w:lineRule="auto" w:after="0"/>
      </w:pPr>
      <w:r>
        <w:rPr>
          <w:rFonts w:ascii="Times New Roman" w:hAnsi="Times New Roman" w:eastAsia="Times New Roman" w:cs="Times New Roman"/>
          <w:color w:val="000000"/>
          <w:sz w:val="24"/>
        </w:rPr>
        <w:t>[To be completed and approved by all authors.]</w:t>
      </w:r>
    </w:p>
    <w:p>
      <w:pPr>
        <w:pStyle w:val="Heading1"/>
      </w:pPr>
      <w:r>
        <w:t>Ethics Statement</w:t>
      </w:r>
    </w:p>
    <w:p>
      <w:pPr>
        <w:widowControl/>
        <w:spacing w:line="480" w:lineRule="auto" w:after="0"/>
      </w:pPr>
      <w:r>
        <w:rPr>
          <w:rFonts w:ascii="Times New Roman" w:hAnsi="Times New Roman" w:eastAsia="Times New Roman" w:cs="Times New Roman"/>
          <w:color w:val="000000"/>
          <w:sz w:val="24"/>
        </w:rPr>
        <w:t>The study analyzes collected lyric text and corpus metadata and releases only aggregate, copyright-safe evidence. No source-credit label is treated as a verified natural-person identity. The authors must confirm institutional requirements and any necessary ethics determination before submission.</w:t>
      </w:r>
    </w:p>
    <w:p>
      <w:pPr>
        <w:pStyle w:val="Heading1"/>
      </w:pPr>
      <w:r>
        <w:t>Author Contributions</w:t>
      </w:r>
    </w:p>
    <w:p>
      <w:pPr>
        <w:widowControl/>
        <w:spacing w:line="480" w:lineRule="auto" w:after="0"/>
      </w:pPr>
      <w:r>
        <w:rPr>
          <w:rFonts w:ascii="Times New Roman" w:hAnsi="Times New Roman" w:eastAsia="Times New Roman" w:cs="Times New Roman"/>
          <w:color w:val="000000"/>
          <w:sz w:val="24"/>
        </w:rPr>
        <w:t>[CRediT roles to be completed by the authors.]</w:t>
      </w:r>
    </w:p>
    <w:p>
      <w:pPr>
        <w:pStyle w:val="Heading1"/>
      </w:pPr>
      <w:r>
        <w:t>AI Disclosure Statement</w:t>
      </w:r>
    </w:p>
    <w:p>
      <w:pPr>
        <w:widowControl/>
        <w:spacing w:line="480" w:lineRule="auto" w:after="0"/>
      </w:pPr>
      <w:r>
        <w:rPr>
          <w:rFonts w:ascii="Times New Roman" w:hAnsi="Times New Roman" w:eastAsia="Times New Roman" w:cs="Times New Roman"/>
          <w:color w:val="000000"/>
          <w:sz w:val="24"/>
        </w:rPr>
        <w:t>This manuscript was prepared with the assistance of OpenAI Codex [exact version/model to be completed by the authors]. The tool was used to assist with reproducible code development, preliminary data analysis, figure generation, and English-language drafting and editing. The human authors must independently check, reproduce, and approve all analyses, figures, claims, and references before submission and remain fully accountable for the work. The same use must be disclosed in the submission cover letter.</w:t>
      </w:r>
    </w:p>
    <w:p>
      <w:pPr>
        <w:pStyle w:val="Heading1"/>
        <w:pageBreakBefore/>
      </w:pPr>
      <w:r>
        <w:t>References</w:t>
      </w:r>
    </w:p>
    <w:p>
      <w:pPr>
        <w:pStyle w:val="References"/>
      </w:pPr>
      <w:r>
        <w:rPr>
          <w:rFonts w:ascii="Times New Roman" w:hAnsi="Times New Roman" w:eastAsia="Times New Roman" w:cs="Times New Roman"/>
          <w:color w:val="000000"/>
          <w:sz w:val="22"/>
        </w:rPr>
        <w:t xml:space="preserve">Baioud, G. (2024) ‘Constructing “corrupted village wives and urban men” through multilingual performances’, </w:t>
      </w:r>
      <w:r>
        <w:rPr>
          <w:rFonts w:ascii="Times New Roman" w:hAnsi="Times New Roman" w:eastAsia="Times New Roman" w:cs="Times New Roman"/>
          <w:i/>
          <w:color w:val="000000"/>
          <w:sz w:val="22"/>
        </w:rPr>
        <w:t>Language in Society</w:t>
      </w:r>
      <w:r>
        <w:rPr>
          <w:rFonts w:ascii="Times New Roman" w:hAnsi="Times New Roman" w:eastAsia="Times New Roman" w:cs="Times New Roman"/>
          <w:color w:val="000000"/>
          <w:sz w:val="22"/>
        </w:rPr>
        <w:t>, 53/1: 25–45. https://doi.org/10.1017/S0047404522000665</w:t>
      </w:r>
    </w:p>
    <w:p>
      <w:pPr>
        <w:pStyle w:val="References"/>
      </w:pPr>
      <w:r>
        <w:rPr>
          <w:rFonts w:ascii="Times New Roman" w:hAnsi="Times New Roman" w:eastAsia="Times New Roman" w:cs="Times New Roman"/>
          <w:color w:val="000000"/>
          <w:sz w:val="22"/>
        </w:rPr>
        <w:t xml:space="preserve">Barrett, C. (2012) ‘Hip-hopping across China: intercultural formulations of local identities’, </w:t>
      </w:r>
      <w:r>
        <w:rPr>
          <w:rFonts w:ascii="Times New Roman" w:hAnsi="Times New Roman" w:eastAsia="Times New Roman" w:cs="Times New Roman"/>
          <w:i/>
          <w:color w:val="000000"/>
          <w:sz w:val="22"/>
        </w:rPr>
        <w:t>Journal of Language, Identity and Education</w:t>
      </w:r>
      <w:r>
        <w:rPr>
          <w:rFonts w:ascii="Times New Roman" w:hAnsi="Times New Roman" w:eastAsia="Times New Roman" w:cs="Times New Roman"/>
          <w:color w:val="000000"/>
          <w:sz w:val="22"/>
        </w:rPr>
        <w:t>, 11/4: 247–60. https://doi.org/10.1080/15348458.2012.706172</w:t>
      </w:r>
    </w:p>
    <w:p>
      <w:pPr>
        <w:pStyle w:val="References"/>
      </w:pPr>
      <w:r>
        <w:rPr>
          <w:rFonts w:ascii="Times New Roman" w:hAnsi="Times New Roman" w:eastAsia="Times New Roman" w:cs="Times New Roman"/>
          <w:color w:val="000000"/>
          <w:sz w:val="22"/>
        </w:rPr>
        <w:t xml:space="preserve">Blessing, A.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(2017) ‘An end-to-end environment for research question-driven entity extraction and network analysis’, </w:t>
      </w:r>
      <w:r>
        <w:rPr>
          <w:rFonts w:ascii="Times New Roman" w:hAnsi="Times New Roman" w:eastAsia="Times New Roman" w:cs="Times New Roman"/>
          <w:i/>
          <w:color w:val="000000"/>
          <w:sz w:val="22"/>
        </w:rPr>
        <w:t>Proceedings of the Joint SIGHUM Workshop on Computational Linguistics for Cultural Heritage, Social Sciences, Humanities and Literature</w:t>
      </w:r>
      <w:r>
        <w:rPr>
          <w:rFonts w:ascii="Times New Roman" w:hAnsi="Times New Roman" w:eastAsia="Times New Roman" w:cs="Times New Roman"/>
          <w:color w:val="000000"/>
          <w:sz w:val="22"/>
        </w:rPr>
        <w:t>, pp. 57–67. https://doi.org/10.18653/v1/W17-2208</w:t>
      </w:r>
    </w:p>
    <w:p>
      <w:pPr>
        <w:pStyle w:val="References"/>
      </w:pPr>
      <w:r>
        <w:rPr>
          <w:rFonts w:ascii="Times New Roman" w:hAnsi="Times New Roman" w:eastAsia="Times New Roman" w:cs="Times New Roman"/>
          <w:color w:val="000000"/>
          <w:sz w:val="22"/>
        </w:rPr>
        <w:t xml:space="preserve">Chen, J.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(2024) ‘M3-Embedding: multi-linguality, multi-functionality, multi-granularity text embeddings through self-knowledge distillation’, </w:t>
      </w:r>
      <w:r>
        <w:rPr>
          <w:rFonts w:ascii="Times New Roman" w:hAnsi="Times New Roman" w:eastAsia="Times New Roman" w:cs="Times New Roman"/>
          <w:i/>
          <w:color w:val="000000"/>
          <w:sz w:val="22"/>
        </w:rPr>
        <w:t>Findings of the Association for Computational Linguistics: ACL 2024</w:t>
      </w:r>
      <w:r>
        <w:rPr>
          <w:rFonts w:ascii="Times New Roman" w:hAnsi="Times New Roman" w:eastAsia="Times New Roman" w:cs="Times New Roman"/>
          <w:color w:val="000000"/>
          <w:sz w:val="22"/>
        </w:rPr>
        <w:t>, pp. 2318–35. https://doi.org/10.18653/v1/2024.findings-acl.137</w:t>
      </w:r>
    </w:p>
    <w:p>
      <w:pPr>
        <w:pStyle w:val="References"/>
      </w:pPr>
      <w:r>
        <w:rPr>
          <w:rFonts w:ascii="Times New Roman" w:hAnsi="Times New Roman" w:eastAsia="Times New Roman" w:cs="Times New Roman"/>
          <w:color w:val="000000"/>
          <w:sz w:val="22"/>
        </w:rPr>
        <w:t xml:space="preserve">Hirjee, H. and Brown, D. G. (2009) ‘Automatic detection of internal and imperfect rhymes in rap lyrics’, </w:t>
      </w:r>
      <w:r>
        <w:rPr>
          <w:rFonts w:ascii="Times New Roman" w:hAnsi="Times New Roman" w:eastAsia="Times New Roman" w:cs="Times New Roman"/>
          <w:i/>
          <w:color w:val="000000"/>
          <w:sz w:val="22"/>
        </w:rPr>
        <w:t>Proceedings of the 10th International Society for Music Information Retrieval Conference</w:t>
      </w:r>
      <w:r>
        <w:rPr>
          <w:rFonts w:ascii="Times New Roman" w:hAnsi="Times New Roman" w:eastAsia="Times New Roman" w:cs="Times New Roman"/>
          <w:color w:val="000000"/>
          <w:sz w:val="22"/>
        </w:rPr>
        <w:t>, pp. 711–16. https://archives.ismir.net/ismir2009/paper/000029.pdf</w:t>
      </w:r>
    </w:p>
    <w:p>
      <w:pPr>
        <w:pStyle w:val="References"/>
      </w:pPr>
      <w:r>
        <w:rPr>
          <w:rFonts w:ascii="Times New Roman" w:hAnsi="Times New Roman" w:eastAsia="Times New Roman" w:cs="Times New Roman"/>
          <w:color w:val="000000"/>
          <w:sz w:val="22"/>
        </w:rPr>
        <w:t xml:space="preserve">Jiang, H.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(2022) ‘Annotating the Tweebank corpus on named entity recognition and building NLP models for social media analysis’, </w:t>
      </w:r>
      <w:r>
        <w:rPr>
          <w:rFonts w:ascii="Times New Roman" w:hAnsi="Times New Roman" w:eastAsia="Times New Roman" w:cs="Times New Roman"/>
          <w:i/>
          <w:color w:val="000000"/>
          <w:sz w:val="22"/>
        </w:rPr>
        <w:t>Proceedings of the Thirteenth Language Resources and Evaluation Conference</w:t>
      </w:r>
      <w:r>
        <w:rPr>
          <w:rFonts w:ascii="Times New Roman" w:hAnsi="Times New Roman" w:eastAsia="Times New Roman" w:cs="Times New Roman"/>
          <w:color w:val="000000"/>
          <w:sz w:val="22"/>
        </w:rPr>
        <w:t>, pp. 7199–208. https://doi.org/10.18653/v1/2022.lrec-1.780</w:t>
      </w:r>
    </w:p>
    <w:p>
      <w:pPr>
        <w:pStyle w:val="References"/>
      </w:pPr>
      <w:r>
        <w:rPr>
          <w:rFonts w:ascii="Times New Roman" w:hAnsi="Times New Roman" w:eastAsia="Times New Roman" w:cs="Times New Roman"/>
          <w:color w:val="000000"/>
          <w:sz w:val="22"/>
        </w:rPr>
        <w:t xml:space="preserve">Lassen, I. M. S.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(2024) ‘Epistemic consequences of unfair tools’, </w:t>
      </w:r>
      <w:r>
        <w:rPr>
          <w:rFonts w:ascii="Times New Roman" w:hAnsi="Times New Roman" w:eastAsia="Times New Roman" w:cs="Times New Roman"/>
          <w:i/>
          <w:color w:val="000000"/>
          <w:sz w:val="22"/>
        </w:rPr>
        <w:t>Digital Scholarship in the Humanities</w:t>
      </w:r>
      <w:r>
        <w:rPr>
          <w:rFonts w:ascii="Times New Roman" w:hAnsi="Times New Roman" w:eastAsia="Times New Roman" w:cs="Times New Roman"/>
          <w:color w:val="000000"/>
          <w:sz w:val="22"/>
        </w:rPr>
        <w:t>, 39/1: 198–214. https://doi.org/10.1093/llc/fqad091</w:t>
      </w:r>
    </w:p>
    <w:p>
      <w:pPr>
        <w:pStyle w:val="References"/>
      </w:pPr>
      <w:r>
        <w:rPr>
          <w:rFonts w:ascii="Times New Roman" w:hAnsi="Times New Roman" w:eastAsia="Times New Roman" w:cs="Times New Roman"/>
          <w:color w:val="000000"/>
          <w:sz w:val="22"/>
        </w:rPr>
        <w:t xml:space="preserve">Li, X.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(2020) ‘FLAT: Chinese NER using Flat-Lattice Transformer’, </w:t>
      </w:r>
      <w:r>
        <w:rPr>
          <w:rFonts w:ascii="Times New Roman" w:hAnsi="Times New Roman" w:eastAsia="Times New Roman" w:cs="Times New Roman"/>
          <w:i/>
          <w:color w:val="000000"/>
          <w:sz w:val="22"/>
        </w:rPr>
        <w:t>Proceedings of the 58th Annual Meeting of the Association for Computational Linguistics</w:t>
      </w:r>
      <w:r>
        <w:rPr>
          <w:rFonts w:ascii="Times New Roman" w:hAnsi="Times New Roman" w:eastAsia="Times New Roman" w:cs="Times New Roman"/>
          <w:color w:val="000000"/>
          <w:sz w:val="22"/>
        </w:rPr>
        <w:t>, pp. 6836–42. https://doi.org/10.18653/v1/2020.acl-main.611</w:t>
      </w:r>
    </w:p>
    <w:p>
      <w:pPr>
        <w:pStyle w:val="References"/>
      </w:pPr>
      <w:r>
        <w:rPr>
          <w:rFonts w:ascii="Times New Roman" w:hAnsi="Times New Roman" w:eastAsia="Times New Roman" w:cs="Times New Roman"/>
          <w:color w:val="000000"/>
          <w:sz w:val="22"/>
        </w:rPr>
        <w:t xml:space="preserve">Lin, Y. and Wang, T. (2024) ‘Rhyming style, persona, and the contested landscape of authentic Chinese hip hop’, </w:t>
      </w:r>
      <w:r>
        <w:rPr>
          <w:rFonts w:ascii="Times New Roman" w:hAnsi="Times New Roman" w:eastAsia="Times New Roman" w:cs="Times New Roman"/>
          <w:i/>
          <w:color w:val="000000"/>
          <w:sz w:val="22"/>
        </w:rPr>
        <w:t>Journal of Sociolinguistics</w:t>
      </w:r>
      <w:r>
        <w:rPr>
          <w:rFonts w:ascii="Times New Roman" w:hAnsi="Times New Roman" w:eastAsia="Times New Roman" w:cs="Times New Roman"/>
          <w:color w:val="000000"/>
          <w:sz w:val="22"/>
        </w:rPr>
        <w:t>, 28/2: 22–41. https://doi.org/10.1111/josl.12635</w:t>
      </w:r>
    </w:p>
    <w:p>
      <w:pPr>
        <w:pStyle w:val="References"/>
      </w:pPr>
      <w:r>
        <w:rPr>
          <w:rFonts w:ascii="Times New Roman" w:hAnsi="Times New Roman" w:eastAsia="Times New Roman" w:cs="Times New Roman"/>
          <w:color w:val="000000"/>
          <w:sz w:val="22"/>
        </w:rPr>
        <w:t xml:space="preserve">Liu, J. (2014) ‘Alternative voice and local youth identity in Chinese local-language rap music’, </w:t>
      </w:r>
      <w:r>
        <w:rPr>
          <w:rFonts w:ascii="Times New Roman" w:hAnsi="Times New Roman" w:eastAsia="Times New Roman" w:cs="Times New Roman"/>
          <w:i/>
          <w:color w:val="000000"/>
          <w:sz w:val="22"/>
        </w:rPr>
        <w:t>positions: asia critique</w:t>
      </w:r>
      <w:r>
        <w:rPr>
          <w:rFonts w:ascii="Times New Roman" w:hAnsi="Times New Roman" w:eastAsia="Times New Roman" w:cs="Times New Roman"/>
          <w:color w:val="000000"/>
          <w:sz w:val="22"/>
        </w:rPr>
        <w:t>, 22/1: 263–92. https://doi.org/10.1215/10679847-2383840</w:t>
      </w:r>
    </w:p>
    <w:p>
      <w:pPr>
        <w:pStyle w:val="References"/>
      </w:pPr>
      <w:r>
        <w:rPr>
          <w:rFonts w:ascii="Times New Roman" w:hAnsi="Times New Roman" w:eastAsia="Times New Roman" w:cs="Times New Roman"/>
          <w:color w:val="000000"/>
          <w:sz w:val="22"/>
        </w:rPr>
        <w:t xml:space="preserve">Liu, J. (2021) ‘Language, identity and unintelligibility: a case study of the rap group Higher Brothers’, </w:t>
      </w:r>
      <w:r>
        <w:rPr>
          <w:rFonts w:ascii="Times New Roman" w:hAnsi="Times New Roman" w:eastAsia="Times New Roman" w:cs="Times New Roman"/>
          <w:i/>
          <w:color w:val="000000"/>
          <w:sz w:val="22"/>
        </w:rPr>
        <w:t>East Asian Journal of Popular Culture</w:t>
      </w:r>
      <w:r>
        <w:rPr>
          <w:rFonts w:ascii="Times New Roman" w:hAnsi="Times New Roman" w:eastAsia="Times New Roman" w:cs="Times New Roman"/>
          <w:color w:val="000000"/>
          <w:sz w:val="22"/>
        </w:rPr>
        <w:t>, 7/1: 43–59. https://doi.org/10.1386/eapc_00038_1</w:t>
      </w:r>
    </w:p>
    <w:p>
      <w:pPr>
        <w:pStyle w:val="References"/>
      </w:pPr>
      <w:r>
        <w:rPr>
          <w:rFonts w:ascii="Times New Roman" w:hAnsi="Times New Roman" w:eastAsia="Times New Roman" w:cs="Times New Roman"/>
          <w:color w:val="000000"/>
          <w:sz w:val="22"/>
        </w:rPr>
        <w:t xml:space="preserve">Liu, J.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(2023) ‘Linguistic tone in Chinese rap: an interdisciplinary approach’, </w:t>
      </w:r>
      <w:r>
        <w:rPr>
          <w:rFonts w:ascii="Times New Roman" w:hAnsi="Times New Roman" w:eastAsia="Times New Roman" w:cs="Times New Roman"/>
          <w:i/>
          <w:color w:val="000000"/>
          <w:sz w:val="22"/>
        </w:rPr>
        <w:t>Journal of New Music Research</w:t>
      </w:r>
      <w:r>
        <w:rPr>
          <w:rFonts w:ascii="Times New Roman" w:hAnsi="Times New Roman" w:eastAsia="Times New Roman" w:cs="Times New Roman"/>
          <w:color w:val="000000"/>
          <w:sz w:val="22"/>
        </w:rPr>
        <w:t>, 52/4: 265–84. https://doi.org/10.1080/09298215.2024.2329075</w:t>
      </w:r>
    </w:p>
    <w:p>
      <w:pPr>
        <w:pStyle w:val="References"/>
      </w:pPr>
      <w:r>
        <w:rPr>
          <w:rFonts w:ascii="Times New Roman" w:hAnsi="Times New Roman" w:eastAsia="Times New Roman" w:cs="Times New Roman"/>
          <w:color w:val="000000"/>
          <w:sz w:val="22"/>
        </w:rPr>
        <w:t xml:space="preserve">Paszke, A.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(2019) ‘PyTorch: an imperative style, high-performance deep learning library’, </w:t>
      </w:r>
      <w:r>
        <w:rPr>
          <w:rFonts w:ascii="Times New Roman" w:hAnsi="Times New Roman" w:eastAsia="Times New Roman" w:cs="Times New Roman"/>
          <w:i/>
          <w:color w:val="000000"/>
          <w:sz w:val="22"/>
        </w:rPr>
        <w:t>Advances in Neural Information Processing Systems</w:t>
      </w:r>
      <w:r>
        <w:rPr>
          <w:rFonts w:ascii="Times New Roman" w:hAnsi="Times New Roman" w:eastAsia="Times New Roman" w:cs="Times New Roman"/>
          <w:color w:val="000000"/>
          <w:sz w:val="22"/>
        </w:rPr>
        <w:t>, 32. https://proceedings.neurips.cc/paper/2019/hash/bdbca288fee7f92f2bfa9f7012727740-Abstract.html</w:t>
      </w:r>
    </w:p>
    <w:p>
      <w:pPr>
        <w:pStyle w:val="References"/>
      </w:pPr>
      <w:r>
        <w:rPr>
          <w:rFonts w:ascii="Times New Roman" w:hAnsi="Times New Roman" w:eastAsia="Times New Roman" w:cs="Times New Roman"/>
          <w:color w:val="000000"/>
          <w:sz w:val="22"/>
        </w:rPr>
        <w:t xml:space="preserve">Pedregosa, F.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(2011) ‘Scikit-learn: machine learning in Python’, </w:t>
      </w:r>
      <w:r>
        <w:rPr>
          <w:rFonts w:ascii="Times New Roman" w:hAnsi="Times New Roman" w:eastAsia="Times New Roman" w:cs="Times New Roman"/>
          <w:i/>
          <w:color w:val="000000"/>
          <w:sz w:val="22"/>
        </w:rPr>
        <w:t>Journal of Machine Learning Research</w:t>
      </w:r>
      <w:r>
        <w:rPr>
          <w:rFonts w:ascii="Times New Roman" w:hAnsi="Times New Roman" w:eastAsia="Times New Roman" w:cs="Times New Roman"/>
          <w:color w:val="000000"/>
          <w:sz w:val="22"/>
        </w:rPr>
        <w:t>, 12: 2825–30. https://jmlr.org/papers/v12/pedregosa11a.html</w:t>
      </w:r>
    </w:p>
    <w:p>
      <w:pPr>
        <w:pStyle w:val="References"/>
      </w:pPr>
      <w:r>
        <w:rPr>
          <w:rFonts w:ascii="Times New Roman" w:hAnsi="Times New Roman" w:eastAsia="Times New Roman" w:cs="Times New Roman"/>
          <w:color w:val="000000"/>
          <w:sz w:val="22"/>
        </w:rPr>
        <w:t xml:space="preserve">Peng, N. and Dredze, M. (2015) ‘Named entity recognition for Chinese social media with jointly trained embeddings’, </w:t>
      </w:r>
      <w:r>
        <w:rPr>
          <w:rFonts w:ascii="Times New Roman" w:hAnsi="Times New Roman" w:eastAsia="Times New Roman" w:cs="Times New Roman"/>
          <w:i/>
          <w:color w:val="000000"/>
          <w:sz w:val="22"/>
        </w:rPr>
        <w:t>Proceedings of the 2015 Conference on Empirical Methods in Natural Language Processing</w:t>
      </w:r>
      <w:r>
        <w:rPr>
          <w:rFonts w:ascii="Times New Roman" w:hAnsi="Times New Roman" w:eastAsia="Times New Roman" w:cs="Times New Roman"/>
          <w:color w:val="000000"/>
          <w:sz w:val="22"/>
        </w:rPr>
        <w:t>, pp. 548–54. https://doi.org/10.18653/v1/D15-1064</w:t>
      </w:r>
    </w:p>
    <w:p>
      <w:pPr>
        <w:pStyle w:val="References"/>
      </w:pPr>
      <w:r>
        <w:rPr>
          <w:rFonts w:ascii="Times New Roman" w:hAnsi="Times New Roman" w:eastAsia="Times New Roman" w:cs="Times New Roman"/>
          <w:color w:val="000000"/>
          <w:sz w:val="22"/>
        </w:rPr>
        <w:t xml:space="preserve">Rafaeli, O.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(2026) ‘Mind the gap: word-embedding and multi-layered literary networks’, </w:t>
      </w:r>
      <w:r>
        <w:rPr>
          <w:rFonts w:ascii="Times New Roman" w:hAnsi="Times New Roman" w:eastAsia="Times New Roman" w:cs="Times New Roman"/>
          <w:i/>
          <w:color w:val="000000"/>
          <w:sz w:val="22"/>
        </w:rPr>
        <w:t>Digital Scholarship in the Humanities</w:t>
      </w:r>
      <w:r>
        <w:rPr>
          <w:rFonts w:ascii="Times New Roman" w:hAnsi="Times New Roman" w:eastAsia="Times New Roman" w:cs="Times New Roman"/>
          <w:color w:val="000000"/>
          <w:sz w:val="22"/>
        </w:rPr>
        <w:t>, 41/Supplement 1: i213–29. https://doi.org/10.1093/llc/fqaf112</w:t>
      </w:r>
    </w:p>
    <w:p>
      <w:pPr>
        <w:pStyle w:val="References"/>
      </w:pPr>
      <w:r>
        <w:rPr>
          <w:rFonts w:ascii="Times New Roman" w:hAnsi="Times New Roman" w:eastAsia="Times New Roman" w:cs="Times New Roman"/>
          <w:color w:val="000000"/>
          <w:sz w:val="22"/>
        </w:rPr>
        <w:t xml:space="preserve">Savoy, J. (1997) ‘Statistical inference in retrieval effectiveness evaluation’, </w:t>
      </w:r>
      <w:r>
        <w:rPr>
          <w:rFonts w:ascii="Times New Roman" w:hAnsi="Times New Roman" w:eastAsia="Times New Roman" w:cs="Times New Roman"/>
          <w:i/>
          <w:color w:val="000000"/>
          <w:sz w:val="22"/>
        </w:rPr>
        <w:t>Information Processing and Management</w:t>
      </w:r>
      <w:r>
        <w:rPr>
          <w:rFonts w:ascii="Times New Roman" w:hAnsi="Times New Roman" w:eastAsia="Times New Roman" w:cs="Times New Roman"/>
          <w:color w:val="000000"/>
          <w:sz w:val="22"/>
        </w:rPr>
        <w:t>, 33/4: 495–512. https://doi.org/10.1016/S0306-4573(97)00027-7</w:t>
      </w:r>
    </w:p>
    <w:p>
      <w:pPr>
        <w:pStyle w:val="References"/>
      </w:pPr>
      <w:r>
        <w:rPr>
          <w:rFonts w:ascii="Times New Roman" w:hAnsi="Times New Roman" w:eastAsia="Times New Roman" w:cs="Times New Roman"/>
          <w:color w:val="000000"/>
          <w:sz w:val="22"/>
        </w:rPr>
        <w:t xml:space="preserve">Sun, Y.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(2023) ‘SongRewriter: a Chinese song rewriting system with controllable content and rhyme scheme’, </w:t>
      </w:r>
      <w:r>
        <w:rPr>
          <w:rFonts w:ascii="Times New Roman" w:hAnsi="Times New Roman" w:eastAsia="Times New Roman" w:cs="Times New Roman"/>
          <w:i/>
          <w:color w:val="000000"/>
          <w:sz w:val="22"/>
        </w:rPr>
        <w:t>Findings of the Association for Computational Linguistics: ACL 2023</w:t>
      </w:r>
      <w:r>
        <w:rPr>
          <w:rFonts w:ascii="Times New Roman" w:hAnsi="Times New Roman" w:eastAsia="Times New Roman" w:cs="Times New Roman"/>
          <w:color w:val="000000"/>
          <w:sz w:val="22"/>
        </w:rPr>
        <w:t>, pp. 12863–80. https://doi.org/10.18653/v1/2023.findings-acl.814</w:t>
      </w:r>
    </w:p>
    <w:p>
      <w:pPr>
        <w:pStyle w:val="References"/>
      </w:pPr>
      <w:r>
        <w:rPr>
          <w:rFonts w:ascii="Times New Roman" w:hAnsi="Times New Roman" w:eastAsia="Times New Roman" w:cs="Times New Roman"/>
          <w:color w:val="000000"/>
          <w:sz w:val="22"/>
        </w:rPr>
        <w:t xml:space="preserve">Sundararajan, K. and Woodard, D. (2018) ‘What represents “style” in authorship attribution?’, </w:t>
      </w:r>
      <w:r>
        <w:rPr>
          <w:rFonts w:ascii="Times New Roman" w:hAnsi="Times New Roman" w:eastAsia="Times New Roman" w:cs="Times New Roman"/>
          <w:i/>
          <w:color w:val="000000"/>
          <w:sz w:val="22"/>
        </w:rPr>
        <w:t>Proceedings of the 27th International Conference on Computational Linguistics</w:t>
      </w:r>
      <w:r>
        <w:rPr>
          <w:rFonts w:ascii="Times New Roman" w:hAnsi="Times New Roman" w:eastAsia="Times New Roman" w:cs="Times New Roman"/>
          <w:color w:val="000000"/>
          <w:sz w:val="22"/>
        </w:rPr>
        <w:t>, pp. 2814–22. https://doi.org/10.18653/v1/C18-1238</w:t>
      </w:r>
    </w:p>
    <w:p>
      <w:pPr>
        <w:pStyle w:val="References"/>
      </w:pPr>
      <w:r>
        <w:rPr>
          <w:rFonts w:ascii="Times New Roman" w:hAnsi="Times New Roman" w:eastAsia="Times New Roman" w:cs="Times New Roman"/>
          <w:color w:val="000000"/>
          <w:sz w:val="22"/>
        </w:rPr>
        <w:t xml:space="preserve">Wang, A.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(2023) ‘Can authorship representation learning capture stylistic features?’, </w:t>
      </w:r>
      <w:r>
        <w:rPr>
          <w:rFonts w:ascii="Times New Roman" w:hAnsi="Times New Roman" w:eastAsia="Times New Roman" w:cs="Times New Roman"/>
          <w:i/>
          <w:color w:val="000000"/>
          <w:sz w:val="22"/>
        </w:rPr>
        <w:t>Transactions of the Association for Computational Linguistics</w:t>
      </w:r>
      <w:r>
        <w:rPr>
          <w:rFonts w:ascii="Times New Roman" w:hAnsi="Times New Roman" w:eastAsia="Times New Roman" w:cs="Times New Roman"/>
          <w:color w:val="000000"/>
          <w:sz w:val="22"/>
        </w:rPr>
        <w:t>, 11: 1416–31. https://doi.org/10.1162/tacl_a_00610</w:t>
      </w:r>
    </w:p>
    <w:p>
      <w:pPr>
        <w:pStyle w:val="References"/>
      </w:pPr>
      <w:r>
        <w:rPr>
          <w:rFonts w:ascii="Times New Roman" w:hAnsi="Times New Roman" w:eastAsia="Times New Roman" w:cs="Times New Roman"/>
          <w:color w:val="000000"/>
          <w:sz w:val="22"/>
        </w:rPr>
        <w:t xml:space="preserve">Wang, T. and Lin, Y. (2024) ‘Variation is the way to perfection: imperfect rhyming in Chinese hip hop’, </w:t>
      </w:r>
      <w:r>
        <w:rPr>
          <w:rFonts w:ascii="Times New Roman" w:hAnsi="Times New Roman" w:eastAsia="Times New Roman" w:cs="Times New Roman"/>
          <w:i/>
          <w:color w:val="000000"/>
          <w:sz w:val="22"/>
        </w:rPr>
        <w:t>Linguistics Vanguard</w:t>
      </w:r>
      <w:r>
        <w:rPr>
          <w:rFonts w:ascii="Times New Roman" w:hAnsi="Times New Roman" w:eastAsia="Times New Roman" w:cs="Times New Roman"/>
          <w:color w:val="000000"/>
          <w:sz w:val="22"/>
        </w:rPr>
        <w:t>, 10/1: 505–15. https://doi.org/10.1515/lingvan-2024-0093</w:t>
      </w:r>
    </w:p>
    <w:p>
      <w:pPr>
        <w:pStyle w:val="References"/>
      </w:pPr>
      <w:r>
        <w:rPr>
          <w:rFonts w:ascii="Times New Roman" w:hAnsi="Times New Roman" w:eastAsia="Times New Roman" w:cs="Times New Roman"/>
          <w:color w:val="000000"/>
          <w:sz w:val="22"/>
        </w:rPr>
        <w:t xml:space="preserve">Wang, X. (2013) ‘“I am not a qualified dialect rapper”: constructing hip-hop authenticity in China’, </w:t>
      </w:r>
      <w:r>
        <w:rPr>
          <w:rFonts w:ascii="Times New Roman" w:hAnsi="Times New Roman" w:eastAsia="Times New Roman" w:cs="Times New Roman"/>
          <w:i/>
          <w:color w:val="000000"/>
          <w:sz w:val="22"/>
        </w:rPr>
        <w:t>Sociolinguistic Studies</w:t>
      </w:r>
      <w:r>
        <w:rPr>
          <w:rFonts w:ascii="Times New Roman" w:hAnsi="Times New Roman" w:eastAsia="Times New Roman" w:cs="Times New Roman"/>
          <w:color w:val="000000"/>
          <w:sz w:val="22"/>
        </w:rPr>
        <w:t>, 6/2: 333–72. https://doi.org/10.1558/sols.v6i2.333</w:t>
      </w:r>
    </w:p>
    <w:p>
      <w:pPr>
        <w:pStyle w:val="References"/>
      </w:pPr>
      <w:r>
        <w:rPr>
          <w:rFonts w:ascii="Times New Roman" w:hAnsi="Times New Roman" w:eastAsia="Times New Roman" w:cs="Times New Roman"/>
          <w:color w:val="000000"/>
          <w:sz w:val="22"/>
        </w:rPr>
        <w:t xml:space="preserve">Wang, Z.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(2024) ‘MuChin: a Chinese colloquial description benchmark for evaluating language models in the field of music’, </w:t>
      </w:r>
      <w:r>
        <w:rPr>
          <w:rFonts w:ascii="Times New Roman" w:hAnsi="Times New Roman" w:eastAsia="Times New Roman" w:cs="Times New Roman"/>
          <w:i/>
          <w:color w:val="000000"/>
          <w:sz w:val="22"/>
        </w:rPr>
        <w:t>Proceedings of the Thirty-Third International Joint Conference on Artificial Intelligence</w:t>
      </w:r>
      <w:r>
        <w:rPr>
          <w:rFonts w:ascii="Times New Roman" w:hAnsi="Times New Roman" w:eastAsia="Times New Roman" w:cs="Times New Roman"/>
          <w:color w:val="000000"/>
          <w:sz w:val="22"/>
        </w:rPr>
        <w:t>, pp. 7771–79. https://doi.org/10.24963/ijcai.2024/860</w:t>
      </w:r>
    </w:p>
    <w:p>
      <w:pPr>
        <w:pStyle w:val="References"/>
      </w:pPr>
      <w:r>
        <w:rPr>
          <w:rFonts w:ascii="Times New Roman" w:hAnsi="Times New Roman" w:eastAsia="Times New Roman" w:cs="Times New Roman"/>
          <w:color w:val="000000"/>
          <w:sz w:val="22"/>
        </w:rPr>
        <w:t xml:space="preserve">Wolf, T.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(2020) ‘Transformers: state-of-the-art natural language processing’, </w:t>
      </w:r>
      <w:r>
        <w:rPr>
          <w:rFonts w:ascii="Times New Roman" w:hAnsi="Times New Roman" w:eastAsia="Times New Roman" w:cs="Times New Roman"/>
          <w:i/>
          <w:color w:val="000000"/>
          <w:sz w:val="22"/>
        </w:rPr>
        <w:t>Proceedings of the 2020 Conference on Empirical Methods in Natural Language Processing: System Demonstrations</w:t>
      </w:r>
      <w:r>
        <w:rPr>
          <w:rFonts w:ascii="Times New Roman" w:hAnsi="Times New Roman" w:eastAsia="Times New Roman" w:cs="Times New Roman"/>
          <w:color w:val="000000"/>
          <w:sz w:val="22"/>
        </w:rPr>
        <w:t>, pp. 38–45. https://doi.org/10.18653/v1/2020.emnlp-demos.6</w:t>
      </w:r>
    </w:p>
    <w:p>
      <w:pPr>
        <w:pStyle w:val="References"/>
      </w:pPr>
      <w:r>
        <w:rPr>
          <w:rFonts w:ascii="Times New Roman" w:hAnsi="Times New Roman" w:eastAsia="Times New Roman" w:cs="Times New Roman"/>
          <w:color w:val="000000"/>
          <w:sz w:val="22"/>
        </w:rPr>
        <w:t xml:space="preserve">Xue, L.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(2021) ‘DeepRapper: neural rap generation with rhyme and rhythm modeling’, </w:t>
      </w:r>
      <w:r>
        <w:rPr>
          <w:rFonts w:ascii="Times New Roman" w:hAnsi="Times New Roman" w:eastAsia="Times New Roman" w:cs="Times New Roman"/>
          <w:i/>
          <w:color w:val="000000"/>
          <w:sz w:val="22"/>
        </w:rPr>
        <w:t>Proceedings of the 59th Annual Meeting of the Association for Computational Linguistics and the 11th International Joint Conference on Natural Language Processing</w:t>
      </w:r>
      <w:r>
        <w:rPr>
          <w:rFonts w:ascii="Times New Roman" w:hAnsi="Times New Roman" w:eastAsia="Times New Roman" w:cs="Times New Roman"/>
          <w:color w:val="000000"/>
          <w:sz w:val="22"/>
        </w:rPr>
        <w:t>, pp. 69–81. https://doi.org/10.18653/v1/2021.acl-long.6</w:t>
      </w:r>
    </w:p>
    <w:p>
      <w:pPr>
        <w:pStyle w:val="References"/>
      </w:pPr>
      <w:r>
        <w:rPr>
          <w:rFonts w:ascii="Times New Roman" w:hAnsi="Times New Roman" w:eastAsia="Times New Roman" w:cs="Times New Roman"/>
          <w:color w:val="000000"/>
          <w:sz w:val="22"/>
        </w:rPr>
        <w:t xml:space="preserve">Yang, Y.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(2018) ‘Distantly supervised NER with partial annotation learning and reinforcement learning’, </w:t>
      </w:r>
      <w:r>
        <w:rPr>
          <w:rFonts w:ascii="Times New Roman" w:hAnsi="Times New Roman" w:eastAsia="Times New Roman" w:cs="Times New Roman"/>
          <w:i/>
          <w:color w:val="000000"/>
          <w:sz w:val="22"/>
        </w:rPr>
        <w:t>Proceedings of the 27th International Conference on Computational Linguistics</w:t>
      </w:r>
      <w:r>
        <w:rPr>
          <w:rFonts w:ascii="Times New Roman" w:hAnsi="Times New Roman" w:eastAsia="Times New Roman" w:cs="Times New Roman"/>
          <w:color w:val="000000"/>
          <w:sz w:val="22"/>
        </w:rPr>
        <w:t>, pp. 2159–69. https://doi.org/10.18653/v1/C18-1183</w:t>
      </w:r>
    </w:p>
    <w:p>
      <w:r>
        <w:br w:type="page"/>
      </w:r>
    </w:p>
    <w:p>
      <w:pPr>
        <w:pStyle w:val="Heading1"/>
      </w:pPr>
      <w:r>
        <w:t>Figure Legends and Alt Text</w:t>
      </w:r>
    </w:p>
    <w:p>
      <w:pPr>
        <w:pStyle w:val="Caption"/>
        <w:spacing w:line="480" w:lineRule="auto"/>
      </w:pPr>
      <w:r>
        <w:rPr>
          <w:rFonts w:ascii="Times New Roman" w:hAnsi="Times New Roman" w:eastAsia="Times New Roman" w:cs="Times New Roman"/>
          <w:color w:val="000000"/>
          <w:sz w:val="20"/>
        </w:rPr>
        <w:t>Fig. 1 Study design. A frozen cleaned corpus enters shared song-aware partition or holdout rules, duplicate controls, task-specific fitting boundaries, a prohibition on using test outcomes for fitting or selection, and aggregate-only public release. Retrieval TF–IDF is fit transductively on the fixed unlabeled evaluation corpus while labelled outcomes remain unused. BGE-M3 is evaluated only in held-out-song retrieval; cultural-reference extraction aggregates duplicate-controlled song units and awaits a future gold split; written-rhyme prediction uses a fixed song-level split and terminal-Han pinyin-final families. Every output is paired with its permitted interpretation.</w:t>
      </w:r>
    </w:p>
    <w:p>
      <w:pPr>
        <w:pStyle w:val="AltText"/>
        <w:spacing w:line="480" w:lineRule="auto"/>
      </w:pPr>
      <w:r>
        <w:rPr>
          <w:rFonts w:ascii="Times New Roman" w:hAnsi="Times New Roman" w:eastAsia="Times New Roman" w:cs="Times New Roman"/>
          <w:color w:val="000000"/>
          <w:sz w:val="18"/>
        </w:rPr>
        <w:t>Alt text: A top-to-bottom research pipeline begins with a frozen Chinese-rap lyric corpus and a shared evidence-control block. Three branches follow: repertoire retrieval using BGE-M3, character TF–IDF, and fusion; provisional cultural-reference extraction using lexicon and contextual Chinese NER evidence; and written-rhyme prediction using terminal-Han pinyin-final families and context models. “Lyrical identity” is defined as a corpus-relative source-label repertoire; the branches reject verified-person, authorship, social-relation, and performed-rhyme claims.</w:t>
      </w:r>
    </w:p>
    <w:p>
      <w:pPr>
        <w:pStyle w:val="Caption"/>
        <w:spacing w:line="480" w:lineRule="auto"/>
      </w:pPr>
      <w:r>
        <w:rPr>
          <w:rFonts w:ascii="Times New Roman" w:hAnsi="Times New Roman" w:eastAsia="Times New Roman" w:cs="Times New Roman"/>
          <w:color w:val="000000"/>
          <w:sz w:val="20"/>
        </w:rPr>
        <w:t>Fig. 2 Strict held-out-song source-credit-label lyrical-repertoire retrieval. Panel A shows duplicate-component-adjusted macro MRR, Recall@1/5/10, and nDCG@10 for BGE-M3, character TF–IDF, and their untuned per-query z-score fusion. Panel B shows paired fusion-minus-baseline differences. Whiskers are 95% intervals from 5,000 literal occurrence-wise paired two-stage bootstrap replicates over 5,455 queries and 204 source-credit labels.</w:t>
      </w:r>
    </w:p>
    <w:p>
      <w:pPr>
        <w:pStyle w:val="AltText"/>
        <w:spacing w:line="480" w:lineRule="auto"/>
      </w:pPr>
      <w:r>
        <w:rPr>
          <w:rFonts w:ascii="Times New Roman" w:hAnsi="Times New Roman" w:eastAsia="Times New Roman" w:cs="Times New Roman"/>
          <w:color w:val="000000"/>
          <w:sz w:val="18"/>
        </w:rPr>
        <w:t>Alt text: Two dot-and-whisker panels compare five retrieval metrics. In the model panel, fusion is highest on all metrics, character TF–IDF is second, and BGE-M3 is lowest. In the paired-difference panel, all ten fusion-minus-baseline intervals lie to the right of zero; gains over TF–IDF are smaller than gains over BGE-M3.</w:t>
      </w:r>
    </w:p>
    <w:p>
      <w:pPr>
        <w:pStyle w:val="Caption"/>
        <w:spacing w:line="480" w:lineRule="auto"/>
      </w:pPr>
      <w:r>
        <w:rPr>
          <w:rFonts w:ascii="Times New Roman" w:hAnsi="Times New Roman" w:eastAsia="Times New Roman" w:cs="Times New Roman"/>
          <w:color w:val="000000"/>
          <w:sz w:val="20"/>
        </w:rPr>
        <w:t>Fig. 3 Provisional cultural-reference evidence after cross-label exact shared-text exclusion and statistical screening. Panel A keeps three analytical units separate. The candidate inventory falls from 33 corpus-wide entity strings to 23 after shared-text exclusion and to 22 in the fixed 204-label primary universe. Legacy source-label/entity links fall from 85 to 40 after shared-text exclusion; shrinkage, conservative interval, and Benjamini–Hochberg false-discovery-rate gates retain six source-label-to-place enrichments. Legacy co-mention sensitivity used an entity-bearing-song denominator (9 before exclusion; 1 after) and is shown separately from the corrected primary denominator of all 5,681 eligible song units (5 basic-gate candidates; 4 BH-FDR releases). Panel B plots all six released shrunken risk ratios with conservative 95% intervals and BH-adjusted q values. Panel C plots the four released same-song reference co-mentions by normalized pointwise mutual information (NPMI). Human review remains incomplete (0 completed gold reviews), so precision, recall, and F1 are not reported. All findings concern lyric references, not residence, preference, biography, collaboration, influence, or social relationships.</w:t>
      </w:r>
    </w:p>
    <w:p>
      <w:pPr>
        <w:pStyle w:val="AltText"/>
        <w:spacing w:line="480" w:lineRule="auto"/>
      </w:pPr>
      <w:r>
        <w:rPr>
          <w:rFonts w:ascii="Times New Roman" w:hAnsi="Times New Roman" w:eastAsia="Times New Roman" w:cs="Times New Roman"/>
          <w:color w:val="000000"/>
          <w:sz w:val="18"/>
        </w:rPr>
        <w:t>Alt text: Three evidence-control cards show separate progressions for entity strings, source-label/entity pairs, and co-mention pairs. The entity inventory decreases from 33 to 23 to 22. Label-to-reference links decrease from 85 to 40 to 6. The co-mention card separates the legacy entity-bearing denominator, which changes from 9 to 1, from the corrected all-5,681-song denominator, which changes from 5 to 4. A log-scale forest plot shows six released source-label-to-place enrichments; every conservative interval is above one. The strongest point estimates are 泰格西 to 湖南 and 黑麦 to 天津, while GALI and 法老 both link to 上海 with smaller but supported enrichments. A compact dot-bar panel shows four released same-song co-mentions: 伦敦–巴黎, 中文–英文, 上海–新疆, and 上海–巴黎. A note states that human gold is incomplete and that the edges are lyric-reference evidence, not biographical or social relations.</w:t>
      </w:r>
    </w:p>
    <w:p>
      <w:pPr>
        <w:pStyle w:val="Caption"/>
        <w:spacing w:line="480" w:lineRule="auto"/>
      </w:pPr>
      <w:r>
        <w:rPr>
          <w:rFonts w:ascii="Times New Roman" w:hAnsi="Times New Roman" w:eastAsia="Times New Roman" w:cs="Times New Roman"/>
          <w:color w:val="000000"/>
          <w:sz w:val="20"/>
        </w:rPr>
        <w:t>Fig. 4 Prediction of the next dictionary-estimated written line-ending family on the strict terminal-Han population. Panel A compares global frequency, first-order Markov, flat context, hierarchical context without source-credit labels, and hierarchical context with source-credit labels across 34,395 leakage-safe events in 787 held-out songs. Whiskers are 95% song-cluster bootstrap intervals from 2,000 replicates. Panel B descriptively separates continuation from family-switch events; top-3 reaches 0.400 for switches under the hierarchical model versus 0.302 for Markov. Panel C plots four paired score differences for the model with versus without source-credit labels; every 95% interval crosses zero, so source-label conditioning has no supported benefit.</w:t>
      </w:r>
    </w:p>
    <w:p>
      <w:pPr>
        <w:pStyle w:val="AltText"/>
        <w:spacing w:line="480" w:lineRule="auto"/>
      </w:pPr>
      <w:r>
        <w:rPr>
          <w:rFonts w:ascii="Times New Roman" w:hAnsi="Times New Roman" w:eastAsia="Times New Roman" w:cs="Times New Roman"/>
          <w:color w:val="000000"/>
          <w:sz w:val="18"/>
        </w:rPr>
        <w:t>Alt text: Four aligned dot-and-whisker panels show Top-1, Top-3, Top-5, and MRR for five models. Context models dominate the global baseline, while the flat and two hierarchical models nearly overlap. A grouped bar panel shows near-ceiling Top-3 accuracy when the next line continues the same family but much lower accuracy when it switches. A third panel plots Top-1, Top-3, Top-5, and MRR differences for the model with versus without source-credit labels; all four 95% intervals cross zero. The task is restricted to written endings.</w:t>
      </w:r>
    </w:p>
    <w:sectPr w:rsidR="00FC693F" w:rsidRPr="0006063C" w:rsidSect="00034616">
      <w:headerReference w:type="default" r:id="rId9"/>
      <w:footerReference w:type="default" r:id="rId10"/>
      <w:pgSz w:w="12240" w:h="15840"/>
      <w:pgMar w:top="1440" w:right="1440" w:bottom="1440"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line="276" w:lineRule="auto"/>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40" w:line="276" w:lineRule="auto"/>
      <w:outlineLvl w:val="1"/>
    </w:pPr>
    <w:rPr>
      <w:rFonts w:ascii="Times New Roman" w:hAnsi="Times New Roman" w:eastAsia="Times New Roman" w:cs="Times New Roman"/>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60" w:after="120"/>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tText">
    <w:name w:val="Alt Text"/>
    <w:pPr>
      <w:spacing w:line="276" w:lineRule="auto" w:after="120"/>
      <w:ind w:left="360" w:right="360"/>
    </w:pPr>
    <w:rPr>
      <w:rFonts w:ascii="Times New Roman" w:hAnsi="Times New Roman" w:eastAsia="Times New Roman" w:cs="Times New Roman"/>
      <w:b w:val="0"/>
      <w:i/>
      <w:color w:val="000000"/>
      <w:sz w:val="18"/>
    </w:rPr>
  </w:style>
  <w:style w:type="paragraph" w:customStyle="1" w:styleId="References">
    <w:name w:val="References"/>
    <w:pPr>
      <w:spacing w:line="480" w:lineRule="auto" w:after="0"/>
      <w:ind w:left="360" w:hanging="360"/>
    </w:pPr>
    <w:rPr>
      <w:rFonts w:ascii="Times New Roman" w:hAnsi="Times New Roman" w:eastAsia="Times New Roman" w:cs="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Reference, and Written Rhyme: Evidence-Grounded Downstream Analysis of Chinese Rap Lyrics</dc:title>
  <dc:subject>Chinese rap lyrical-repertoire analysis</dc:subject>
  <dc:creator/>
  <cp:keywords>Chinese rap, digital humanities, BGE-M3, lyrics, robustness</cp:keywords>
  <dc:description/>
  <cp:lastModifiedBy/>
  <cp:revision>1</cp:revision>
  <dcterms:created xsi:type="dcterms:W3CDTF">2013-12-23T23:15:00Z</dcterms:created>
  <dcterms:modified xsi:type="dcterms:W3CDTF">2013-12-23T23:15:00Z</dcterms:modified>
  <cp:category/>
</cp:coreProperties>
</file>