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df" ContentType="application/pdf"/>
  <Override PartName="/word/media/rId43.pdf" ContentType="application/pdf"/>
  <Override PartName="/word/media/rId37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 model</w:t>
      </w:r>
      <w:r>
        <w:t xml:space="preserve"> </w:t>
      </w:r>
      <w:r>
        <w:t xml:space="preserve">reaches 98% validation accuracy with zero 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Submitted as a separate file (</w:t>
      </w:r>
      <w:r>
        <w:rPr>
          <w:rStyle w:val="VerbatimChar"/>
        </w:rPr>
        <w:t xml:space="preserve">graphical_abstract.pdf</w:t>
      </w:r>
      <w:r>
        <w:t xml:space="preserve">). The figure</w:t>
      </w:r>
      <w:r>
        <w:t xml:space="preserve"> </w:t>
      </w:r>
      <w:r>
        <w:t xml:space="preserve">summarises the six-stage pipeline: reference clips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mel-spectrogram &amp; augmentation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VGG19 frequency-position CRNN</w:t>
      </w:r>
      <w:r>
        <w:t xml:space="preserve"> </w:t>
      </w:r>
      <w:r>
        <w:t xml:space="preserve">classifier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sliding-window detection with low-frequency gate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three-filter automatic cleanup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hard-negative</w:t>
      </w:r>
      <w:r>
        <w:t xml:space="preserve"> </w:t>
      </w:r>
      <w:r>
        <w:t xml:space="preserve">mining (iterative feedback loop).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 </w:t>
            </w:r>
            <w:r>
              <w:t xml:space="preserve">—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— insects, birds, wind, rain,</w:t>
      </w:r>
      <w:r>
        <w:t xml:space="preserve"> </w:t>
      </w:r>
      <w:r>
        <w:t xml:space="preserve">and the calls of non-target animals —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36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— preprocessing, training, detection, automatic</w:t>
      </w:r>
      <w:r>
        <w:t xml:space="preserve"> </w:t>
      </w:r>
      <w:r>
        <w:t xml:space="preserve">cleanup, and iterative retraining —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Because the target species are diurnal and</w:t>
      </w:r>
      <w:r>
        <w:t xml:space="preserve"> </w:t>
      </w:r>
      <w:r>
        <w:t xml:space="preserve">most vocally active in the morning, only recordings whose start time falls</w:t>
      </w:r>
      <w:r>
        <w:t xml:space="preserve"> </w:t>
      </w:r>
      <w:r>
        <w:t xml:space="preserve">within a configurable window (default 05:30–10:30 local time, parsed from the</w:t>
      </w:r>
      <w:r>
        <w:t xml:space="preserve"> </w:t>
      </w:r>
      <w:r>
        <w:t xml:space="preserve">timestamp in each filename) are processed; this removes large stretches of</w:t>
      </w:r>
      <w:r>
        <w:t xml:space="preserve"> </w:t>
      </w:r>
      <w:r>
        <w:t xml:space="preserve">audio in which the species are unlikely to call and reduces both compute and</w:t>
      </w:r>
      <w:r>
        <w:t xml:space="preserve"> </w:t>
      </w:r>
      <w:r>
        <w:t xml:space="preserve">false positives.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 </w:t>
      </w:r>
      <w:r>
        <w:t xml:space="preserve">—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 via</w:t>
      </w:r>
      <w:r>
        <w:t xml:space="preserve"> </w:t>
      </w:r>
      <w:r>
        <w:rPr>
          <w:rStyle w:val="VerbatimChar"/>
        </w:rPr>
        <w:t xml:space="preserve">config.SPECIES_FOLDERS</w:t>
      </w:r>
      <w:r>
        <w:t xml:space="preserve">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 </w:t>
      </w:r>
      <w:r>
        <w:t xml:space="preserve">—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 </w:t>
      </w:r>
      <w:r>
        <w:t xml:space="preserve">—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— with no internal</w:t>
      </w:r>
      <w:r>
        <w:t xml:space="preserve"> </w:t>
      </w:r>
      <w:r>
        <w:t xml:space="preserve">sub-labels —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dedicated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Cernic folder;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class. Content-duplicate clips — the same field</w:t>
      </w:r>
      <w:r>
        <w:t xml:space="preserve"> </w:t>
      </w:r>
      <w:r>
        <w:t xml:space="preserve">detection stored more than once by different mining passes —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RMS energy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find_loudest_window</w:t>
      </w:r>
      <w:r>
        <w:t xml:space="preserve">),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— 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 —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1817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df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4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designed to exploit both the spectral location and the temporal rhythm of</w:t>
      </w:r>
      <w:r>
        <w:t xml:space="preserve"> </w:t>
      </w:r>
      <w:r>
        <w:t xml:space="preserve">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3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 —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 —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 —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recurrent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End w:id="23"/>
    <w:bookmarkEnd w:id="24"/>
    <w:bookmarkStart w:id="28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5" w:name="stage-1-head-training."/>
    <w:p>
      <w:pPr>
        <w:pStyle w:val="Heading4"/>
      </w:pPr>
      <w:r>
        <w:t xml:space="preserve">Stage 1 —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5"/>
    <w:bookmarkStart w:id="26" w:name="stage-2-partial-fine-tuning."/>
    <w:p>
      <w:pPr>
        <w:pStyle w:val="Heading4"/>
      </w:pPr>
      <w:r>
        <w:t xml:space="preserve">Stage 2 — Partial fine-tuning.</w:t>
      </w:r>
    </w:p>
    <w:p>
      <w:pPr>
        <w:pStyle w:val="FirstParagraph"/>
      </w:pPr>
      <w:r>
        <w:t xml:space="preserve">The last two convolutional blocks of VGG19 (</w:t>
      </w:r>
      <w:r>
        <w:rPr>
          <w:rStyle w:val="VerbatimChar"/>
        </w:rPr>
        <w:t xml:space="preserve">block4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block5</w:t>
      </w:r>
      <w:r>
        <w:t xml:space="preserve">) are unfrozen while earlier blocks remain frozen to preserve</w:t>
      </w:r>
      <w:r>
        <w:t xml:space="preserve"> </w:t>
      </w:r>
      <w:r>
        <w:t xml:space="preserve">low-level features. The 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w:r>
        <w:t xml:space="preserve">avoid catastrophic forgetting.</w:t>
      </w:r>
    </w:p>
    <w:bookmarkEnd w:id="26"/>
    <w:bookmarkStart w:id="27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accuracy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 as</w:t>
      </w:r>
      <w:r>
        <w:t xml:space="preserve"> </w:t>
      </w:r>
      <w:r>
        <w:rPr>
          <w:rStyle w:val="VerbatimChar"/>
        </w:rPr>
        <w:t xml:space="preserve">best_model.h5</w:t>
      </w:r>
      <w:r>
        <w:t xml:space="preserve">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27"/>
    <w:bookmarkEnd w:id="28"/>
    <w:bookmarkStart w:id="30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DETECTION_GROUPS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 — equally important —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29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reclassified as</w:t>
      </w:r>
      <w:r>
        <w:t xml:space="preserve"> </w:t>
      </w:r>
      <w:r>
        <w:t xml:space="preserve">Background. The threshold was 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gate is recorded in the output CSV so that</w:t>
      </w:r>
      <w:r>
        <w:t xml:space="preserve"> </w:t>
      </w:r>
      <w:r>
        <w:t xml:space="preserve">downstream analysis can audit which detections were removed and why.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29"/>
    <w:bookmarkEnd w:id="30"/>
    <w:bookmarkStart w:id="34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1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1"/>
    <w:bookmarkStart w:id="32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2"/>
    <w:bookmarkStart w:id="33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</w:t>
      </w:r>
      <w:r>
        <w:t xml:space="preserve"> </w:t>
      </w:r>
      <w:r>
        <w:rPr>
          <w:rStyle w:val="VerbatimChar"/>
        </w:rPr>
        <w:t xml:space="preserve">flag_reason</w:t>
      </w:r>
      <w:r>
        <w:t xml:space="preserve"> </w:t>
      </w:r>
      <w:r>
        <w:t xml:space="preserve">column), and strong false positives are</w:t>
      </w:r>
      <w:r>
        <w:t xml:space="preserve"> </w:t>
      </w:r>
      <w:r>
        <w:t xml:space="preserve">exported as labelled WAV clips for the next stage.</w:t>
      </w:r>
    </w:p>
    <w:bookmarkEnd w:id="33"/>
    <w:bookmarkEnd w:id="34"/>
    <w:bookmarkStart w:id="35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5"/>
    <w:bookmarkEnd w:id="36"/>
    <w:bookmarkStart w:id="50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47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— the frequency-position-aware head with</w:t>
      </w:r>
      <w:r>
        <w:t xml:space="preserve"> </w:t>
      </w:r>
      <w:r>
        <w:t xml:space="preserve">high-frequency nuisance augmentation —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2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0" w:name="fig:training"/>
    <w:p>
      <w:pPr>
        <w:pStyle w:val="CaptionedFigure"/>
      </w:pPr>
      <w:r>
        <w:drawing>
          <wp:inline>
            <wp:extent cx="5334000" cy="211591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training_curves_v12.pdf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0"/>
    <w:bookmarkStart w:id="41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1"/>
    <w:bookmarkStart w:id="42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2"/>
    <w:bookmarkStart w:id="46" w:name="fig:confusion"/>
    <w:p>
      <w:pPr>
        <w:pStyle w:val="CaptionedFigure"/>
      </w:pPr>
      <w:r>
        <w:drawing>
          <wp:inline>
            <wp:extent cx="3467100" cy="292969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confusion_matrix_v12.pdf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9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46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3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47"/>
    <w:bookmarkStart w:id="48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applied to the continuous recordings from every available</w:t>
      </w:r>
      <w:r>
        <w:t xml:space="preserve"> </w:t>
      </w:r>
      <w:r>
        <w:t xml:space="preserve">acoustic station (16 of the 20 IPA stations are present in the archive; IPA3,</w:t>
      </w:r>
      <w:r>
        <w:t xml:space="preserve"> </w:t>
      </w:r>
      <w:r>
        <w:t xml:space="preserve">IPA5, IPA9, and IPA12 are absent). One 2 s clip is exported for every</w:t>
      </w:r>
      <w:r>
        <w:t xml:space="preserve"> </w:t>
      </w:r>
      <w:r>
        <w:t xml:space="preserve">detection that survives the low-frequency energy gate. As an architecture-level</w:t>
      </w:r>
      <w:r>
        <w:t xml:space="preserve"> </w:t>
      </w:r>
      <w:r>
        <w:t xml:space="preserve">check during development, the V11 head (frequency-position encoding, before HF</w:t>
      </w:r>
      <w:r>
        <w:t xml:space="preserve"> </w:t>
      </w:r>
      <w:r>
        <w:t xml:space="preserve">augmentation) was compared against V10 on a held-out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 bird false positives that V10 had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 five as Background or confuser</w:t>
      </w:r>
      <w:r>
        <w:t xml:space="preserve"> </w:t>
      </w:r>
      <w:r>
        <w:t xml:space="preserve">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</w:t>
      </w:r>
      <w:r>
        <w:t xml:space="preserve"> </w:t>
      </w:r>
      <w:r>
        <w:t xml:space="preserve">confidence, confirming that the frequency-position encoding suppresses the</w:t>
      </w:r>
      <w:r>
        <w:t xml:space="preserve"> </w:t>
      </w:r>
      <w:r>
        <w:t xml:space="preserve">high-frequency confusion rather than trading away true positives. V12 adds the</w:t>
      </w:r>
      <w:r>
        <w:t xml:space="preserve"> </w:t>
      </w:r>
      <w:r>
        <w:t xml:space="preserve">high-frequency nuisance augmentation and the calibrated low-frequency gate on</w:t>
      </w:r>
      <w:r>
        <w:t xml:space="preserve"> </w:t>
      </w:r>
      <w:r>
        <w:t xml:space="preserve">top of V11 and is the version deployed across all stations. Aggregate</w:t>
      </w:r>
      <w:r>
        <w:t xml:space="preserve"> </w:t>
      </w:r>
      <w:r>
        <w:t xml:space="preserve">per-station detection counts, the Cernic detections retained after manual</w:t>
      </w:r>
      <w:r>
        <w:t xml:space="preserve"> </w:t>
      </w:r>
      <w:r>
        <w:t xml:space="preserve">review, and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counts will be reported once</w:t>
      </w:r>
      <w:r>
        <w:t xml:space="preserve"> </w:t>
      </w:r>
      <w:r>
        <w:t xml:space="preserve">all stations have been processed.</w:t>
      </w:r>
    </w:p>
    <w:bookmarkEnd w:id="48"/>
    <w:bookmarkStart w:id="49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a</w:t>
      </w:r>
      <w:r>
        <w:t xml:space="preserve"> </w:t>
      </w:r>
      <w:r>
        <w:t xml:space="preserve">development station (IPA19ST)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49"/>
    <w:bookmarkEnd w:id="50"/>
    <w:bookmarkStart w:id="51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— mostly brief</w:t>
      </w:r>
      <w:r>
        <w:t xml:space="preserve"> </w:t>
      </w:r>
      <w:r>
        <w:t xml:space="preserve">hacks and pyows embedded in loud ambient noise —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1"/>
    <w:bookmarkStart w:id="52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52"/>
    <w:bookmarkStart w:id="53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3"/>
    <w:bookmarkStart w:id="54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4"/>
    <w:bookmarkStart w:id="55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5"/>
    <w:bookmarkStart w:id="56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56"/>
    <w:bookmarkStart w:id="66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57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58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59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0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1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2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3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4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5">
        <w:r>
          <w:rPr>
            <w:rStyle w:val="Hyperlink"/>
          </w:rPr>
          <w:t xml:space="preserve">https://doi.org/10.25080/Majora-7b98e3ed-003</w:t>
        </w:r>
      </w:hyperlink>
    </w:p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df" /><Relationship Type="http://schemas.openxmlformats.org/officeDocument/2006/relationships/image" Id="rId43" Target="media/rId43.pdf" /><Relationship Type="http://schemas.openxmlformats.org/officeDocument/2006/relationships/image" Id="rId37" Target="media/rId37.pdf" /><Relationship Type="http://schemas.openxmlformats.org/officeDocument/2006/relationships/hyperlink" Id="rId57" Target="https://doi.org/10.1002/ajp.23666" TargetMode="External" /><Relationship Type="http://schemas.openxmlformats.org/officeDocument/2006/relationships/hyperlink" Id="rId58" Target="https://doi.org/10.1016/j.ecolind.2022.109621" TargetMode="External" /><Relationship Type="http://schemas.openxmlformats.org/officeDocument/2006/relationships/hyperlink" Id="rId60" Target="https://doi.org/10.1109/CVPR.2009.5206848" TargetMode="External" /><Relationship Type="http://schemas.openxmlformats.org/officeDocument/2006/relationships/hyperlink" Id="rId62" Target="https://doi.org/10.1109/ICASSP.2017.7952132" TargetMode="External" /><Relationship Type="http://schemas.openxmlformats.org/officeDocument/2006/relationships/hyperlink" Id="rId61" Target="https://doi.org/10.1109/ICASSP.2017.7952261" TargetMode="External" /><Relationship Type="http://schemas.openxmlformats.org/officeDocument/2006/relationships/hyperlink" Id="rId65" Target="https://doi.org/10.25080/Majora-7b98e3ed-003" TargetMode="External" /><Relationship Type="http://schemas.openxmlformats.org/officeDocument/2006/relationships/hyperlink" Id="rId59" Target="https://doi.org/10.48550/arXiv.1409.1556" TargetMode="External" /><Relationship Type="http://schemas.openxmlformats.org/officeDocument/2006/relationships/hyperlink" Id="rId64" Target="https://doi.org/10.48550/arXiv.1807.03247" TargetMode="External" /><Relationship Type="http://schemas.openxmlformats.org/officeDocument/2006/relationships/hyperlink" Id="rId63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doi.org/10.1002/ajp.23666" TargetMode="External" /><Relationship Type="http://schemas.openxmlformats.org/officeDocument/2006/relationships/hyperlink" Id="rId58" Target="https://doi.org/10.1016/j.ecolind.2022.109621" TargetMode="External" /><Relationship Type="http://schemas.openxmlformats.org/officeDocument/2006/relationships/hyperlink" Id="rId60" Target="https://doi.org/10.1109/CVPR.2009.5206848" TargetMode="External" /><Relationship Type="http://schemas.openxmlformats.org/officeDocument/2006/relationships/hyperlink" Id="rId62" Target="https://doi.org/10.1109/ICASSP.2017.7952132" TargetMode="External" /><Relationship Type="http://schemas.openxmlformats.org/officeDocument/2006/relationships/hyperlink" Id="rId61" Target="https://doi.org/10.1109/ICASSP.2017.7952261" TargetMode="External" /><Relationship Type="http://schemas.openxmlformats.org/officeDocument/2006/relationships/hyperlink" Id="rId65" Target="https://doi.org/10.25080/Majora-7b98e3ed-003" TargetMode="External" /><Relationship Type="http://schemas.openxmlformats.org/officeDocument/2006/relationships/hyperlink" Id="rId59" Target="https://doi.org/10.48550/arXiv.1409.1556" TargetMode="External" /><Relationship Type="http://schemas.openxmlformats.org/officeDocument/2006/relationships/hyperlink" Id="rId64" Target="https://doi.org/10.48550/arXiv.1807.03247" TargetMode="External" /><Relationship Type="http://schemas.openxmlformats.org/officeDocument/2006/relationships/hyperlink" Id="rId63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2026-06-17T17:21:21Z</dcterms:created>
  <dcterms:modified xsi:type="dcterms:W3CDTF">2026-06-17T17:21:21Z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