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df" ContentType="application/pdf"/>
  <Override PartName="/word/media/rId32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conservation, but it produces thousands of hours of audio that</w:t>
      </w:r>
      <w:r>
        <w:t xml:space="preserve"> </w:t>
      </w:r>
      <w:r>
        <w:t xml:space="preserve">cannot be annotated by hand. The obstacle is precision: a classifier trained on</w:t>
      </w:r>
      <w:r>
        <w:t xml:space="preserve"> </w:t>
      </w:r>
      <w:r>
        <w:t xml:space="preserve">clean reference clips also fires on the many non-target forest sounds absent</w:t>
      </w:r>
      <w:r>
        <w:t xml:space="preserve"> </w:t>
      </w:r>
      <w:r>
        <w:t xml:space="preserve">from training, so every detection must be checked by ear. We describe an</w:t>
      </w:r>
      <w:r>
        <w:t xml:space="preserve"> </w:t>
      </w:r>
      <w:r>
        <w:t xml:space="preserve">end-to-end pipeline that detects two primate species,</w:t>
      </w:r>
      <w:r>
        <w:t xml:space="preserve"> </w:t>
      </w:r>
      <w:r>
        <w:rPr>
          <w:i/>
          <w:iCs/>
        </w:rPr>
        <w:t xml:space="preserve">Cercopithecus</w:t>
      </w:r>
      <w:r>
        <w:rPr>
          <w:i/>
          <w:iCs/>
        </w:rPr>
        <w:t xml:space="preserve"> </w:t>
      </w:r>
      <w:r>
        <w:rPr>
          <w:i/>
          <w:iCs/>
        </w:rPr>
        <w:t xml:space="preserve">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 recordings from Makokou,</w:t>
      </w:r>
      <w:r>
        <w:t xml:space="preserve"> </w:t>
      </w:r>
      <w:r>
        <w:t xml:space="preserve">Gabon, while keeping manual listening near zero. The classifier couples a</w:t>
      </w:r>
      <w:r>
        <w:t xml:space="preserve"> </w:t>
      </w:r>
      <w:r>
        <w:t xml:space="preserve">VGG19 backbone with a frequency-position-aware recurrent head that encodes</w:t>
      </w:r>
      <w:r>
        <w:t xml:space="preserve"> </w:t>
      </w:r>
      <w:r>
        <w:t xml:space="preserve">where in frequency a call sits, with targeted controls that suppress each</w:t>
      </w:r>
      <w:r>
        <w:t xml:space="preserve"> </w:t>
      </w:r>
      <w:r>
        <w:t xml:space="preserve">species’ characteristic false positives and an automatic cleanup loop that</w:t>
      </w:r>
      <w:r>
        <w:t xml:space="preserve"> </w:t>
      </w:r>
      <w:r>
        <w:t xml:space="preserve">recycles confirmed errors into training. It reaches 98% validation accuracy</w:t>
      </w:r>
      <w:r>
        <w:t xml:space="preserve"> </w:t>
      </w:r>
      <w:r>
        <w:t xml:space="preserve">with zero confusion between them, and transfers to new species by swapping in</w:t>
      </w:r>
      <w:r>
        <w:t xml:space="preserve"> </w:t>
      </w:r>
      <w:r>
        <w:t xml:space="preserve">reference clips.</w:t>
      </w:r>
    </w:p>
    <w:p>
      <w:pPr>
        <w:pStyle w:val="Abstract"/>
        <w:numPr>
          <w:ilvl w:val="0"/>
          <w:numId w:val="1001"/>
        </w:numPr>
      </w:pPr>
      <w:r>
        <w:t xml:space="preserve">A two-stage transfer-learning classifier for detecting primate calls in</w:t>
      </w:r>
      <w:r>
        <w:t xml:space="preserve"> </w:t>
      </w:r>
      <w:r>
        <w:t xml:space="preserve">continuous field recordings.</w:t>
      </w:r>
    </w:p>
    <w:p>
      <w:pPr>
        <w:pStyle w:val="Abstract"/>
        <w:numPr>
          <w:ilvl w:val="0"/>
          <w:numId w:val="1001"/>
        </w:numPr>
      </w:pPr>
      <w:r>
        <w:t xml:space="preserve">Three targeted controls (a dedicated hard-negative class, a</w:t>
      </w:r>
      <w:r>
        <w:t xml:space="preserve"> </w:t>
      </w:r>
      <w:r>
        <w:t xml:space="preserve">frequency-position encoding, and a high-frequency nuisance augmentation) that</w:t>
      </w:r>
      <w:r>
        <w:t xml:space="preserve"> </w:t>
      </w:r>
      <w:r>
        <w:t xml:space="preserve">suppress species-specific false positives without manual listening.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loop that feeds confirmed false</w:t>
      </w:r>
      <w:r>
        <w:t xml:space="preserve"> </w:t>
      </w:r>
      <w:r>
        <w:t xml:space="preserve">positives back as hard negatives for iterative retraining.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31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4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 (putty-nose 25, hack 101, kek 124, pyow 101,</w:t>
      </w:r>
      <w:r>
        <w:t xml:space="preserve"> </w:t>
      </w:r>
      <w:r>
        <w:t xml:space="preserve">field-confirmed 19; 370 clips total);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calls (617 clips);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 (654 clips).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</w:t>
      </w:r>
      <w:r>
        <w:t xml:space="preserve"> </w:t>
      </w:r>
      <w:r>
        <w:t xml:space="preserve">(approximately 5</w:t>
      </w:r>
      <w:r>
        <w:t xml:space="preserve">,</w:t>
      </w:r>
      <w:r>
        <w:t xml:space="preserve">900 clips total).</w:t>
      </w:r>
    </w:p>
    <w:p>
      <w:pPr>
        <w:pStyle w:val="FirstParagraph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4"/>
    <w:bookmarkStart w:id="15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conversion at training and detection time keeps the</w:t>
      </w:r>
      <w:r>
        <w:t xml:space="preserve"> </w:t>
      </w:r>
      <w:r>
        <w:t xml:space="preserve">two feature distributions comparable.</w:t>
      </w:r>
    </w:p>
    <w:bookmarkEnd w:id="15"/>
    <w:bookmarkStart w:id="17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multiplier): one unaltered 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16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roar. The augmentation is deliberately not applied to</w:t>
      </w:r>
      <w:r>
        <w:t xml:space="preserve"> </w:t>
      </w:r>
      <w:r>
        <w:t xml:space="preserve">Cernic, whose calls genuinely occupy higher frequencies and must keep their</w:t>
      </w:r>
      <w:r>
        <w:t xml:space="preserve"> </w:t>
      </w:r>
      <w:r>
        <w:t xml:space="preserve">high band intact.</w:t>
      </w:r>
    </w:p>
    <w:bookmarkEnd w:id="16"/>
    <w:bookmarkEnd w:id="17"/>
    <w:bookmarkStart w:id="19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designed to exploit both the spectral location and the temporal rhythm of</w:t>
      </w:r>
      <w:r>
        <w:t xml:space="preserve"> </w:t>
      </w:r>
      <w:r>
        <w:t xml:space="preserve">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18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End w:id="18"/>
    <w:bookmarkEnd w:id="19"/>
    <w:bookmarkStart w:id="23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0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0"/>
    <w:bookmarkStart w:id="21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21"/>
    <w:bookmarkStart w:id="22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22"/>
    <w:bookmarkEnd w:id="23"/>
    <w:bookmarkStart w:id="25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24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24"/>
    <w:bookmarkEnd w:id="25"/>
    <w:bookmarkStart w:id="29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26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26"/>
    <w:bookmarkStart w:id="27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27"/>
    <w:bookmarkStart w:id="28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28"/>
    <w:bookmarkEnd w:id="29"/>
    <w:bookmarkStart w:id="30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0"/>
    <w:bookmarkEnd w:id="31"/>
    <w:bookmarkStart w:id="45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42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1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 confusion matrix.</w:t>
      </w:r>
    </w:p>
    <w:bookmarkStart w:id="35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training_curves_v12.pdf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35"/>
    <w:bookmarkStart w:id="36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36"/>
    <w:bookmarkStart w:id="37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37"/>
    <w:bookmarkStart w:id="41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onfusion_matrix_v12.pdf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41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2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42"/>
    <w:bookmarkStart w:id="43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43"/>
    <w:bookmarkStart w:id="44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44"/>
    <w:bookmarkEnd w:id="45"/>
    <w:bookmarkStart w:id="46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46"/>
    <w:bookmarkStart w:id="47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47"/>
    <w:bookmarkStart w:id="48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48"/>
    <w:bookmarkStart w:id="49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49"/>
    <w:bookmarkStart w:id="50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0"/>
    <w:bookmarkStart w:id="5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51"/>
    <w:bookmarkStart w:id="61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52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53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54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55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56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57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58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0">
        <w:r>
          <w:rPr>
            <w:rStyle w:val="Hyperlink"/>
          </w:rPr>
          <w:t xml:space="preserve">https://doi.org/10.25080/Majora-7b98e3ed-003</w:t>
        </w:r>
      </w:hyperlink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df" /><Relationship Type="http://schemas.openxmlformats.org/officeDocument/2006/relationships/image" Id="rId32" Target="media/rId32.pdf" /><Relationship Type="http://schemas.openxmlformats.org/officeDocument/2006/relationships/hyperlink" Id="rId52" Target="https://doi.org/10.1002/ajp.23666" TargetMode="External" /><Relationship Type="http://schemas.openxmlformats.org/officeDocument/2006/relationships/hyperlink" Id="rId53" Target="https://doi.org/10.1016/j.ecolind.2022.109621" TargetMode="External" /><Relationship Type="http://schemas.openxmlformats.org/officeDocument/2006/relationships/hyperlink" Id="rId55" Target="https://doi.org/10.1109/CVPR.2009.5206848" TargetMode="External" /><Relationship Type="http://schemas.openxmlformats.org/officeDocument/2006/relationships/hyperlink" Id="rId57" Target="https://doi.org/10.1109/ICASSP.2017.7952132" TargetMode="External" /><Relationship Type="http://schemas.openxmlformats.org/officeDocument/2006/relationships/hyperlink" Id="rId56" Target="https://doi.org/10.1109/ICASSP.2017.7952261" TargetMode="External" /><Relationship Type="http://schemas.openxmlformats.org/officeDocument/2006/relationships/hyperlink" Id="rId60" Target="https://doi.org/10.25080/Majora-7b98e3ed-003" TargetMode="External" /><Relationship Type="http://schemas.openxmlformats.org/officeDocument/2006/relationships/hyperlink" Id="rId54" Target="https://doi.org/10.48550/arXiv.1409.1556" TargetMode="External" /><Relationship Type="http://schemas.openxmlformats.org/officeDocument/2006/relationships/hyperlink" Id="rId59" Target="https://doi.org/10.48550/arXiv.1807.03247" TargetMode="External" /><Relationship Type="http://schemas.openxmlformats.org/officeDocument/2006/relationships/hyperlink" Id="rId5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doi.org/10.1002/ajp.23666" TargetMode="External" /><Relationship Type="http://schemas.openxmlformats.org/officeDocument/2006/relationships/hyperlink" Id="rId53" Target="https://doi.org/10.1016/j.ecolind.2022.109621" TargetMode="External" /><Relationship Type="http://schemas.openxmlformats.org/officeDocument/2006/relationships/hyperlink" Id="rId55" Target="https://doi.org/10.1109/CVPR.2009.5206848" TargetMode="External" /><Relationship Type="http://schemas.openxmlformats.org/officeDocument/2006/relationships/hyperlink" Id="rId57" Target="https://doi.org/10.1109/ICASSP.2017.7952132" TargetMode="External" /><Relationship Type="http://schemas.openxmlformats.org/officeDocument/2006/relationships/hyperlink" Id="rId56" Target="https://doi.org/10.1109/ICASSP.2017.7952261" TargetMode="External" /><Relationship Type="http://schemas.openxmlformats.org/officeDocument/2006/relationships/hyperlink" Id="rId60" Target="https://doi.org/10.25080/Majora-7b98e3ed-003" TargetMode="External" /><Relationship Type="http://schemas.openxmlformats.org/officeDocument/2006/relationships/hyperlink" Id="rId54" Target="https://doi.org/10.48550/arXiv.1409.1556" TargetMode="External" /><Relationship Type="http://schemas.openxmlformats.org/officeDocument/2006/relationships/hyperlink" Id="rId59" Target="https://doi.org/10.48550/arXiv.1807.03247" TargetMode="External" /><Relationship Type="http://schemas.openxmlformats.org/officeDocument/2006/relationships/hyperlink" Id="rId5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2026-06-16T22:38:33Z</dcterms:created>
  <dcterms:modified xsi:type="dcterms:W3CDTF">2026-06-16T22:38:33Z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conservation, but it produces thousands of hours of audio that cannot be annotated by hand. The obstacle is precision: a classifier trained on clean reference clips also fires on the many non-target forest sounds absent from training, so every detection must be checked by ear. We describe an end-to-end pipeline that detects two primate species, Cercopithecus nictitans and Colobus guereza, in long recordings from Makokou, Gabon, while keeping manual listening near zero. The classifier couples a VGG19 backbone with a frequency-position-aware recurrent head that encodes where in frequency a call sits, with targeted controls that suppress each species’ characteristic false positives and an automatic cleanup loop that recycles confirmed errors into training. It reaches 98% validation accuracy with zero confusion between them, and transfers to new species by swapping in reference clips.A two-stage transfer-learning classifier for detecting primate calls in continuous field recordings.Three targeted controls (a dedicated hard-negative class, a frequency-position encoding, and a high-frequency nuisance augmentation) that suppress species-specific false positives without manual listening.An automatic three-filter cleanup loop that feeds confirmed false positives back as hard negatives for iterative retraining.</vt:lpwstr>
  </property>
</Properties>
</file>