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run on the continuous recordings from all available acoustic</w:t>
      </w:r>
      <w:r>
        <w:t xml:space="preserve"> </w:t>
      </w:r>
      <w:r>
        <w:t xml:space="preserve">stations; one 2 s clip is exported for every detection that survives the</w:t>
      </w:r>
      <w:r>
        <w:t xml:space="preserve"> </w:t>
      </w:r>
      <w:r>
        <w:t xml:space="preserve">low-frequency energy gate. As an architecture-level check during development,</w:t>
      </w:r>
      <w:r>
        <w:t xml:space="preserve"> </w:t>
      </w:r>
      <w:r>
        <w:t xml:space="preserve">the position-aware head (with the frequency-position encoding) was compared</w:t>
      </w:r>
      <w:r>
        <w:t xml:space="preserve"> </w:t>
      </w:r>
      <w:r>
        <w:t xml:space="preserve">against the earlier position-blind head on a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</w:t>
      </w:r>
      <w:r>
        <w:t xml:space="preserve"> </w:t>
      </w:r>
      <w:r>
        <w:t xml:space="preserve">clips: of six high-frequency bird false positives that the position-blind head</w:t>
      </w:r>
      <w:r>
        <w:t xml:space="preserve"> </w:t>
      </w:r>
      <w:r>
        <w:t xml:space="preserve">had 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the position-aware head reclassified</w:t>
      </w:r>
      <w:r>
        <w:t xml:space="preserve"> </w:t>
      </w:r>
      <w:r>
        <w:t xml:space="preserve">five as Background or confuser 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 confidence, confirming that the frequency-position</w:t>
      </w:r>
      <w:r>
        <w:t xml:space="preserve"> </w:t>
      </w:r>
      <w:r>
        <w:t xml:space="preserve">encoding suppresses the high-frequency confusion rather than trading away true</w:t>
      </w:r>
      <w:r>
        <w:t xml:space="preserve"> </w:t>
      </w:r>
      <w:r>
        <w:t xml:space="preserve">positives. The final (V12) model adds the high-frequency nuisance augmentation</w:t>
      </w:r>
      <w:r>
        <w:t xml:space="preserve"> </w:t>
      </w:r>
      <w:r>
        <w:t xml:space="preserve">and the calibrated low-frequency gate on top of this encoding and is the</w:t>
      </w:r>
      <w:r>
        <w:t xml:space="preserve"> </w:t>
      </w:r>
      <w:r>
        <w:t xml:space="preserve">version deployed across all stations.</w:t>
      </w:r>
      <w:r>
        <w:t xml:space="preserve"> </w:t>
      </w:r>
      <w:r>
        <w:rPr>
          <w:b/>
          <w:bCs/>
        </w:rPr>
        <w:t xml:space="preserve">[TODO: the number of stations and recordings processed, the aggregate</w:t>
      </w:r>
      <w:r>
        <w:rPr>
          <w:b/>
          <w:bCs/>
        </w:rPr>
        <w:t xml:space="preserve"> </w:t>
      </w:r>
      <w:r>
        <w:rPr>
          <w:b/>
          <w:bCs/>
        </w:rPr>
        <w:t xml:space="preserve">and per-station detection counts, the Cernic detections retained after manual</w:t>
      </w:r>
      <w:r>
        <w:rPr>
          <w:b/>
          <w:bCs/>
        </w:rPr>
        <w:t xml:space="preserve"> </w:t>
      </w:r>
      <w:r>
        <w:rPr>
          <w:b/>
          <w:bCs/>
        </w:rPr>
        <w:t xml:space="preserve">review, and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Colobus</w:t>
      </w:r>
      <w:r>
        <w:rPr>
          <w:b/>
          <w:bCs/>
        </w:rPr>
        <w:t xml:space="preserve"> </w:t>
      </w:r>
      <w:r>
        <w:rPr>
          <w:b/>
          <w:bCs/>
        </w:rPr>
        <w:t xml:space="preserve">false-positive counts, to be filled in once</w:t>
      </w:r>
      <w:r>
        <w:rPr>
          <w:b/>
          <w:bCs/>
        </w:rPr>
        <w:t xml:space="preserve"> </w:t>
      </w:r>
      <w:r>
        <w:rPr>
          <w:b/>
          <w:bCs/>
        </w:rPr>
        <w:t xml:space="preserve">processing completes.]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the</w:t>
      </w:r>
      <w:r>
        <w:t xml:space="preserve"> </w:t>
      </w:r>
      <w:r>
        <w:t xml:space="preserve">development recordings during earlier, three-class iterations. A</w:t>
      </w:r>
      <w:r>
        <w:t xml:space="preserve"> </w:t>
      </w:r>
      <w:r>
        <w:t xml:space="preserve">frequency-band pooling head fired on essentially every loud non-target</w:t>
      </w:r>
      <w:r>
        <w:t xml:space="preserve"> </w:t>
      </w:r>
      <w:r>
        <w:t xml:space="preserve">sound; adding a temporal CRNN head with Conv1D and a bidirectional LSTM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2026-06-18T00:26:49Z</dcterms:created>
  <dcterms:modified xsi:type="dcterms:W3CDTF">2026-06-18T00:26:49Z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