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V11 head (frequency-position encoding, before HF augmentation) was compared</w:t>
      </w:r>
      <w:r>
        <w:t xml:space="preserve"> </w:t>
      </w:r>
      <w:r>
        <w:t xml:space="preserve">against V10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</w:t>
      </w:r>
      <w:r>
        <w:t xml:space="preserve"> </w:t>
      </w:r>
      <w:r>
        <w:t xml:space="preserve">bird false positives that V10 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V12 adds the high-frequency nuisance augmentation and the calibrated</w:t>
      </w:r>
      <w:r>
        <w:t xml:space="preserve"> </w:t>
      </w:r>
      <w:r>
        <w:t xml:space="preserve">low-frequency gate on top of V11 and is the version deployed across all</w:t>
      </w:r>
      <w:r>
        <w:t xml:space="preserve"> </w:t>
      </w:r>
      <w:r>
        <w:t xml:space="preserve">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2026-06-17T23:47:30Z</dcterms:created>
  <dcterms:modified xsi:type="dcterms:W3CDTF">2026-06-17T23:47:30Z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