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47.png" ContentType="image/png"/>
  <Override PartName="/word/media/rId2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 model</w:t>
      </w:r>
      <w:r>
        <w:t xml:space="preserve"> </w:t>
      </w:r>
      <w:r>
        <w:t xml:space="preserve">reaches 98% validation accuracy with zero confusion between the 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Provided as a separate image file, per the MethodsX submission requirements.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.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(insects, birds, wind, rain,</w:t>
      </w:r>
      <w:r>
        <w:t xml:space="preserve"> </w:t>
      </w:r>
      <w:r>
        <w:t xml:space="preserve">and the calls of non-target animals),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40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(preprocessing, training, detection, automatic</w:t>
      </w:r>
      <w:r>
        <w:t xml:space="preserve"> </w:t>
      </w:r>
      <w:r>
        <w:t xml:space="preserve">cleanup, and iterative retraining),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 configuration file 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An optional time-of-day filter can restrict</w:t>
      </w:r>
      <w:r>
        <w:t xml:space="preserve"> </w:t>
      </w:r>
      <w:r>
        <w:t xml:space="preserve">processing to recordings whose start time falls within a configurable morning</w:t>
      </w:r>
      <w:r>
        <w:t xml:space="preserve"> </w:t>
      </w:r>
      <w:r>
        <w:t xml:space="preserve">window (default 05:30–10:30 local time, parsed from the filename timestamp),</w:t>
      </w:r>
      <w:r>
        <w:t xml:space="preserve"> </w:t>
      </w:r>
      <w:r>
        <w:t xml:space="preserve">when the diurnal target species are most vocally active, reducing both compute</w:t>
      </w:r>
      <w:r>
        <w:t xml:space="preserve"> </w:t>
      </w:r>
      <w:r>
        <w:t xml:space="preserve">and false positives.</w:t>
      </w:r>
      <w:r>
        <w:t xml:space="preserve"> </w:t>
      </w:r>
      <w:r>
        <w:rPr>
          <w:b/>
          <w:bCs/>
        </w:rPr>
        <w:t xml:space="preserve">[TODO: the latest detection run did not apply this time-of-day filter;</w:t>
      </w:r>
      <w:r>
        <w:rPr>
          <w:b/>
          <w:bCs/>
        </w:rPr>
        <w:t xml:space="preserve"> </w:t>
      </w:r>
      <w:r>
        <w:rPr>
          <w:b/>
          <w:bCs/>
        </w:rPr>
        <w:t xml:space="preserve">confirm the final pipeline setting and reconcile this paragraph.]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: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 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: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: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: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(with no internal</w:t>
      </w:r>
      <w:r>
        <w:t xml:space="preserve"> </w:t>
      </w:r>
      <w:r>
        <w:t xml:space="preserve">sub-labels),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Cernic class;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t xml:space="preserve">Colobus_confuser class. Content-duplicate clips (the same field</w:t>
      </w:r>
      <w:r>
        <w:t xml:space="preserve"> </w:t>
      </w:r>
      <w:r>
        <w:t xml:space="preserve">detection stored more than once by different mining passes)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short-time energy,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22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1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(keying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signature)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0" w:name="fig:augmentation"/>
    <w:p>
      <w:pPr>
        <w:pStyle w:val="CaptionedFigure"/>
      </w:pPr>
      <w:r>
        <w:drawing>
          <wp:inline>
            <wp:extent cx="5334000" cy="3521528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ugmentation_v1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1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0"/>
    <w:bookmarkEnd w:id="21"/>
    <w:bookmarkEnd w:id="22"/>
    <w:bookmarkStart w:id="28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(Fig. </w:t>
      </w:r>
      <w:hyperlink w:anchor="fig:architecture">
        <w:r>
          <w:rPr>
            <w:rStyle w:val="Hyperlink"/>
          </w:rPr>
          <w:t xml:space="preserve">2</w:t>
        </w:r>
      </w:hyperlink>
      <w:r>
        <w:t xml:space="preserve">) designed to exploit both the spectral</w:t>
      </w:r>
      <w:r>
        <w:t xml:space="preserve"> </w:t>
      </w:r>
      <w:r>
        <w:t xml:space="preserve">location and the temporal rhythm of 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 block4_conv4 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27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occurred,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stream: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ReLU,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input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Start w:id="26" w:name="fig:architecture"/>
    <w:p>
      <w:pPr>
        <w:pStyle w:val="CaptionedFigure"/>
      </w:pPr>
      <w:r>
        <w:drawing>
          <wp:inline>
            <wp:extent cx="3200400" cy="414716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del_architecture_v1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147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architecture. A VGG19 backbone (the block4_conv4</w:t>
      </w:r>
      <w:r>
        <w:t xml:space="preserve"> </w:t>
      </w:r>
      <w:r>
        <w:t xml:space="preserve">feature map) is augmented with a frequency-coordinate (CoordConv) channel, then</w:t>
      </w:r>
      <w:r>
        <w:t xml:space="preserve"> </w:t>
      </w:r>
      <w:r>
        <w:t xml:space="preserve">split into four mel-frequency bands processed by per-band and cross-band 1-D</w:t>
      </w:r>
      <w:r>
        <w:t xml:space="preserve"> </w:t>
      </w:r>
      <w:r>
        <w:t xml:space="preserve">convolutions, summarized by a bidirectional LSTM with combined global max- and</w:t>
      </w:r>
      <w:r>
        <w:t xml:space="preserve"> </w:t>
      </w:r>
      <w:r>
        <w:t xml:space="preserve">average-pooling, and classified by two dense layers and a four-way softmax. The</w:t>
      </w:r>
      <w:r>
        <w:t xml:space="preserve"> </w:t>
      </w:r>
      <w:r>
        <w:t xml:space="preserve">frequency-position encoding and the per-band split are the components added to</w:t>
      </w:r>
      <w:r>
        <w:t xml:space="preserve"> </w:t>
      </w:r>
      <w:r>
        <w:t xml:space="preserve">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positives. Output tensor shapes are shown on</w:t>
      </w:r>
      <w:r>
        <w:t xml:space="preserve"> </w:t>
      </w:r>
      <w:r>
        <w:t xml:space="preserve">the right.</w:t>
      </w:r>
    </w:p>
    <w:bookmarkEnd w:id="26"/>
    <w:bookmarkEnd w:id="27"/>
    <w:bookmarkEnd w:id="28"/>
    <w:bookmarkStart w:id="32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9" w:name="stage-1-head-training."/>
    <w:p>
      <w:pPr>
        <w:pStyle w:val="Heading4"/>
      </w:pPr>
      <w:r>
        <w:t xml:space="preserve">Stage 1: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9"/>
    <w:bookmarkStart w:id="30" w:name="stage-2-partial-fine-tuning."/>
    <w:p>
      <w:pPr>
        <w:pStyle w:val="Heading4"/>
      </w:pPr>
      <w:r>
        <w:t xml:space="preserve">Stage 2: Partial fine-tuning.</w:t>
      </w:r>
    </w:p>
    <w:p>
      <w:pPr>
        <w:pStyle w:val="FirstParagraph"/>
      </w:pPr>
      <w:r>
        <w:t xml:space="preserve">Because the VGG19 base is truncated at block4_conv4</w:t>
      </w:r>
      <w:r>
        <w:t xml:space="preserve"> </w:t>
      </w:r>
      <w:r>
        <w:t xml:space="preserve">(Section 4), its trainable portion spans blocks 1–4. The last two of these</w:t>
      </w:r>
      <w:r>
        <w:t xml:space="preserve"> </w:t>
      </w:r>
      <w:r>
        <w:t xml:space="preserve">blocks (the block3 and block4 convolutional layers) are</w:t>
      </w:r>
      <w:r>
        <w:t xml:space="preserve"> </w:t>
      </w:r>
      <w:r>
        <w:t xml:space="preserve">unfrozen, while block1 and block2 remain frozen to preserve</w:t>
      </w:r>
      <w:r>
        <w:t xml:space="preserve"> </w:t>
      </w:r>
      <w:r>
        <w:t xml:space="preserve">low-level features; this makes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12.3 M parameters trainable. The</w:t>
      </w:r>
      <w:r>
        <w:t xml:space="preserve"> </w:t>
      </w:r>
      <w:r>
        <w:t xml:space="preserve">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 avoid catastrophic</w:t>
      </w:r>
      <w:r>
        <w:t xml:space="preserve"> </w:t>
      </w:r>
      <w:r>
        <w:t xml:space="preserve">forgetting.</w:t>
      </w:r>
    </w:p>
    <w:bookmarkEnd w:id="30"/>
    <w:bookmarkStart w:id="31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loss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31"/>
    <w:bookmarkEnd w:id="32"/>
    <w:bookmarkStart w:id="34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and, equally important,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33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dropped from</w:t>
      </w:r>
      <w:r>
        <w:t xml:space="preserve"> </w:t>
      </w:r>
      <w:r>
        <w:t xml:space="preserve">the detection list (i.e. treated as non-target Background). The threshold was</w:t>
      </w:r>
      <w:r>
        <w:t xml:space="preserve"> </w:t>
      </w:r>
      <w:r>
        <w:t xml:space="preserve">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low-frequency ratio is also written as a column</w:t>
      </w:r>
      <w:r>
        <w:t xml:space="preserve"> </w:t>
      </w:r>
      <w:r>
        <w:t xml:space="preserve">in the output CSV for every retained detection, so detections can be ranked or</w:t>
      </w:r>
      <w:r>
        <w:t xml:space="preserve"> </w:t>
      </w:r>
      <w:r>
        <w:t xml:space="preserve">re-inspected by it.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33"/>
    <w:bookmarkEnd w:id="34"/>
    <w:bookmarkStart w:id="38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5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5"/>
    <w:bookmarkStart w:id="36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6"/>
    <w:bookmarkStart w:id="37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 flag-reason column), and strong false positives are</w:t>
      </w:r>
      <w:r>
        <w:t xml:space="preserve"> </w:t>
      </w:r>
      <w:r>
        <w:t xml:space="preserve">exported as labelled WAV clips for the next stage.</w:t>
      </w:r>
    </w:p>
    <w:bookmarkEnd w:id="37"/>
    <w:bookmarkEnd w:id="38"/>
    <w:bookmarkStart w:id="39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 Colobus_confuser)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9"/>
    <w:bookmarkEnd w:id="40"/>
    <w:bookmarkStart w:id="54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51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(the frequency-position-aware head with</w:t>
      </w:r>
      <w:r>
        <w:t xml:space="preserve"> </w:t>
      </w:r>
      <w:r>
        <w:t xml:space="preserve">high-frequency nuisance augmentation)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3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4" w:name="fig:training"/>
    <w:p>
      <w:pPr>
        <w:pStyle w:val="CaptionedFigure"/>
      </w:pPr>
      <w:r>
        <w:drawing>
          <wp:inline>
            <wp:extent cx="5334000" cy="21211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training_curves_v1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4"/>
    <w:bookmarkStart w:id="45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5"/>
    <w:bookmarkStart w:id="46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6"/>
    <w:bookmarkStart w:id="50" w:name="fig:confusion"/>
    <w:p>
      <w:pPr>
        <w:pStyle w:val="CaptionedFigure"/>
      </w:pPr>
      <w:r>
        <w:drawing>
          <wp:inline>
            <wp:extent cx="3467100" cy="292348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onfusion_matrix_v12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3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50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4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 Compared with the preceding V11 model</w:t>
      </w:r>
      <w:r>
        <w:t xml:space="preserve"> </w:t>
      </w:r>
      <w:r>
        <w:t xml:space="preserve">(97.29 % overall), the V12 high-frequency nuisance augmentation raised</w:t>
      </w:r>
      <w:r>
        <w:t xml:space="preserve"> </w:t>
      </w:r>
      <w:r>
        <w:t xml:space="preserve">Cernic recall from 93.8 % to 96.1 % and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accuracy from</w:t>
      </w:r>
      <w:r>
        <w:t xml:space="preserve"> </w:t>
      </w:r>
      <w:r>
        <w:t xml:space="preserve">98.96 % to 99.0 %, while confuser and Background accuracy both improved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 percentage points. The gain in Cernic recall indicates that the</w:t>
      </w:r>
      <w:r>
        <w:t xml:space="preserve"> </w:t>
      </w:r>
      <w:r>
        <w:t xml:space="preserve">augmentation indirectly benefits Cernic by freeing the model from the</w:t>
      </w:r>
      <w:r>
        <w:t xml:space="preserve"> </w:t>
      </w:r>
      <w:r>
        <w:t xml:space="preserve">high-frequency shortcut that previously caused Cernic–confuser confusion.</w:t>
      </w:r>
    </w:p>
    <w:bookmarkEnd w:id="51"/>
    <w:bookmarkStart w:id="52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applied to the continuous recordings from every available</w:t>
      </w:r>
      <w:r>
        <w:t xml:space="preserve"> </w:t>
      </w:r>
      <w:r>
        <w:t xml:space="preserve">acoustic station (16 of the 20 IPA stations are present in the archive; IPA3,</w:t>
      </w:r>
      <w:r>
        <w:t xml:space="preserve"> </w:t>
      </w:r>
      <w:r>
        <w:t xml:space="preserve">IPA5, IPA9, and IPA12 are absent). One 2 s clip is exported for every</w:t>
      </w:r>
      <w:r>
        <w:t xml:space="preserve"> </w:t>
      </w:r>
      <w:r>
        <w:t xml:space="preserve">detection that survives the low-frequency energy gate. As an architecture-level</w:t>
      </w:r>
      <w:r>
        <w:t xml:space="preserve"> </w:t>
      </w:r>
      <w:r>
        <w:t xml:space="preserve">check during development, the V11 head (frequency-position encoding, before HF</w:t>
      </w:r>
      <w:r>
        <w:t xml:space="preserve"> </w:t>
      </w:r>
      <w:r>
        <w:t xml:space="preserve">augmentation) was compared against V10 on a held-out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 bird false positives that V10 had</w:t>
      </w:r>
      <w:r>
        <w:t xml:space="preserve"> </w:t>
      </w:r>
      <w:r>
        <w:t xml:space="preserve">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 five as Background or confuser</w:t>
      </w:r>
      <w:r>
        <w:t xml:space="preserve"> </w:t>
      </w:r>
      <w:r>
        <w:t xml:space="preserve">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</w:t>
      </w:r>
      <w:r>
        <w:t xml:space="preserve"> </w:t>
      </w:r>
      <w:r>
        <w:t xml:space="preserve">confidence, confirming that the frequency-position encoding suppresses the</w:t>
      </w:r>
      <w:r>
        <w:t xml:space="preserve"> </w:t>
      </w:r>
      <w:r>
        <w:t xml:space="preserve">high-frequency confusion rather than trading away true positives. V12 adds the</w:t>
      </w:r>
      <w:r>
        <w:t xml:space="preserve"> </w:t>
      </w:r>
      <w:r>
        <w:t xml:space="preserve">high-frequency nuisance augmentation and the calibrated low-frequency gate on</w:t>
      </w:r>
      <w:r>
        <w:t xml:space="preserve"> </w:t>
      </w:r>
      <w:r>
        <w:t xml:space="preserve">top of V11 and is the version deployed across all stations. Aggregate</w:t>
      </w:r>
      <w:r>
        <w:t xml:space="preserve"> </w:t>
      </w:r>
      <w:r>
        <w:t xml:space="preserve">per-station detection counts, the Cernic detections retained after manual</w:t>
      </w:r>
      <w:r>
        <w:t xml:space="preserve"> </w:t>
      </w:r>
      <w:r>
        <w:t xml:space="preserve">review, and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counts will be reported once</w:t>
      </w:r>
      <w:r>
        <w:t xml:space="preserve"> </w:t>
      </w:r>
      <w:r>
        <w:t xml:space="preserve">all stations have been processed.</w:t>
      </w:r>
    </w:p>
    <w:bookmarkEnd w:id="52"/>
    <w:bookmarkStart w:id="53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a</w:t>
      </w:r>
      <w:r>
        <w:t xml:space="preserve"> </w:t>
      </w:r>
      <w:r>
        <w:t xml:space="preserve">development station (IPA19ST)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 Colobus_confuser 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53"/>
    <w:bookmarkEnd w:id="54"/>
    <w:bookmarkStart w:id="55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(mostly brief</w:t>
      </w:r>
      <w:r>
        <w:t xml:space="preserve"> </w:t>
      </w:r>
      <w:r>
        <w:t xml:space="preserve">hacks and pyows embedded in loud ambient noise)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5"/>
    <w:bookmarkStart w:id="56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56"/>
    <w:bookmarkStart w:id="57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57"/>
    <w:bookmarkStart w:id="58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8"/>
    <w:bookmarkStart w:id="59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60"/>
    <w:bookmarkStart w:id="70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 configuration 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61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62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63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4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5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6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67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8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9">
        <w:r>
          <w:rPr>
            <w:rStyle w:val="Hyperlink"/>
          </w:rPr>
          <w:t xml:space="preserve">https://doi.org/10.25080/Majora-7b98e3ed-003</w:t>
        </w:r>
      </w:hyperlink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47" Target="media/rId47.png" /><Relationship Type="http://schemas.openxmlformats.org/officeDocument/2006/relationships/image" Id="rId23" Target="media/rId23.png" /><Relationship Type="http://schemas.openxmlformats.org/officeDocument/2006/relationships/image" Id="rId41" Target="media/rId41.png" /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2026-06-17T21:58:33Z</dcterms:created>
  <dcterms:modified xsi:type="dcterms:W3CDTF">2026-06-17T21:58:33Z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model reaches 98% validation accuracy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