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48.png" ContentType="image/png"/>
  <Override PartName="/word/media/rId23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curated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</w:t>
      </w:r>
      <w:r>
        <w:t xml:space="preserve"> </w:t>
      </w:r>
      <w:r>
        <w:t xml:space="preserve">classifier reaches 98% validation accuracy, with zero confusion between the</w:t>
      </w:r>
      <w:r>
        <w:t xml:space="preserve"> </w:t>
      </w:r>
      <w:r>
        <w:t xml:space="preserve">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Provided as a separate image file, per the MethodsX submission requirements.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, including</w:t>
            </w:r>
            <w:r>
              <w:t xml:space="preserve"> </w:t>
            </w:r>
            <w:r>
              <w:t xml:space="preserve">ready-to-run Jupyter notebooks and a step-by-step</w:t>
            </w:r>
            <w:r>
              <w:t xml:space="preserve"> </w:t>
            </w:r>
            <w:r>
              <w:rPr>
                <w:rStyle w:val="VerbatimChar"/>
              </w:rPr>
              <w:t xml:space="preserve">SETUP.md</w:t>
            </w:r>
            <w:r>
              <w:t xml:space="preserve">, with</w:t>
            </w:r>
            <w:r>
              <w:t xml:space="preserve"> </w:t>
            </w:r>
            <w:r>
              <w:t xml:space="preserve">pinned dependencies for an exactly reproducible environment.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curated,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(insects, birds, wind, rain,</w:t>
      </w:r>
      <w:r>
        <w:t xml:space="preserve"> </w:t>
      </w:r>
      <w:r>
        <w:t xml:space="preserve">and the calls of non-target animals),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</w:t>
      </w:r>
      <w:r>
        <w:t xml:space="preserve"> </w:t>
      </w:r>
      <w:r>
        <w:rPr>
          <w:b/>
          <w:bCs/>
        </w:rPr>
        <w:t xml:space="preserve">[cite the putty-nosed call-type source — confirm</w:t>
      </w:r>
      <w:r>
        <w:rPr>
          <w:b/>
          <w:bCs/>
        </w:rPr>
        <w:t xml:space="preserve"> </w:t>
      </w:r>
      <w:r>
        <w:rPr>
          <w:b/>
          <w:bCs/>
        </w:rPr>
        <w:t xml:space="preserve">the reference with the species expert]</w:t>
      </w:r>
      <w:r>
        <w:t xml:space="preserve">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41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(preprocessing, training, detection, automatic</w:t>
      </w:r>
      <w:r>
        <w:t xml:space="preserve"> </w:t>
      </w:r>
      <w:r>
        <w:t xml:space="preserve">cleanup, and iterative retraining),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 configuration file 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5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An optional time-of-day filter can restrict</w:t>
      </w:r>
      <w:r>
        <w:t xml:space="preserve"> </w:t>
      </w:r>
      <w:r>
        <w:t xml:space="preserve">processing to recordings whose start time falls within a configurable morning</w:t>
      </w:r>
      <w:r>
        <w:t xml:space="preserve"> </w:t>
      </w:r>
      <w:r>
        <w:t xml:space="preserve">window (default 05:30–10:30 local time, parsed from the filename timestamp),</w:t>
      </w:r>
      <w:r>
        <w:t xml:space="preserve"> </w:t>
      </w:r>
      <w:r>
        <w:t xml:space="preserve">when the diurnal target species are most vocally active, reducing both compute</w:t>
      </w:r>
      <w:r>
        <w:t xml:space="preserve"> </w:t>
      </w:r>
      <w:r>
        <w:t xml:space="preserve">and false positives. In the runs reported here this filter was not applied</w:t>
      </w:r>
      <w:r>
        <w:t xml:space="preserve"> </w:t>
      </w:r>
      <w:r>
        <w:rPr>
          <w:b/>
          <w:bCs/>
        </w:rPr>
        <w:t xml:space="preserve">[to be confirmed before submission]</w:t>
      </w:r>
      <w:r>
        <w:t xml:space="preserve">.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: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 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: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: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: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4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(with no internal</w:t>
      </w:r>
      <w:r>
        <w:t xml:space="preserve"> </w:t>
      </w:r>
      <w:r>
        <w:t xml:space="preserve">sub-labels),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Cernic class;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t xml:space="preserve">Colobus_confuser class. Content-duplicate clips (the same field</w:t>
      </w:r>
      <w:r>
        <w:t xml:space="preserve"> </w:t>
      </w:r>
      <w:r>
        <w:t xml:space="preserve">detection stored more than once by different mining passes) were removed by</w:t>
      </w:r>
      <w:r>
        <w:t xml:space="preserve"> </w:t>
      </w:r>
      <w:r>
        <w:t xml:space="preserve">hashing before training.</w:t>
      </w:r>
    </w:p>
    <w:bookmarkEnd w:id="15"/>
    <w:bookmarkStart w:id="16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short-time energy,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spectrogram conversion at training and detection time keeps the</w:t>
      </w:r>
      <w:r>
        <w:t xml:space="preserve"> </w:t>
      </w:r>
      <w:r>
        <w:t xml:space="preserve">two feature distributions comparable.</w:t>
      </w:r>
    </w:p>
    <w:bookmarkEnd w:id="16"/>
    <w:bookmarkStart w:id="22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multiplier; 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A): one unaltered</w:t>
      </w:r>
      <w:r>
        <w:t xml:space="preserve"> </w:t>
      </w:r>
      <w:r>
        <w:t xml:space="preserve">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21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(keying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signature)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 (Fig.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B). The augmentation</w:t>
      </w:r>
      <w:r>
        <w:t xml:space="preserve"> </w:t>
      </w:r>
      <w:r>
        <w:t xml:space="preserve">is deliberately not applied to Cernic, whose calls genuinely occupy higher</w:t>
      </w:r>
      <w:r>
        <w:t xml:space="preserve"> </w:t>
      </w:r>
      <w:r>
        <w:t xml:space="preserve">frequencies and must keep their high band intact.</w:t>
      </w:r>
    </w:p>
    <w:bookmarkStart w:id="20" w:name="fig:augmentation"/>
    <w:p>
      <w:pPr>
        <w:pStyle w:val="CaptionedFigure"/>
      </w:pPr>
      <w:r>
        <w:drawing>
          <wp:inline>
            <wp:extent cx="5334000" cy="3521528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ugmentation_v1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1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Spectrogram data augmentation. (A) Standard augmentation expands each</w:t>
      </w:r>
      <w:r>
        <w:t xml:space="preserve"> </w:t>
      </w:r>
      <w:r>
        <w:t xml:space="preserve">target-class clip into seven variants (one original, three background mixes at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 SNR, a time crop, a frequency crop, and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20-mel-bin</w:t>
      </w:r>
      <w:r>
        <w:t xml:space="preserve"> </w:t>
      </w:r>
      <w:r>
        <w:t xml:space="preserve">frequency shift). (B) High-frequency nuisance augmentation adds two further</w:t>
      </w:r>
      <w:r>
        <w:t xml:space="preserve"> </w:t>
      </w:r>
      <w:r>
        <w:t xml:space="preserve">variants for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only: the mel band above 1.5 kHz is</w:t>
      </w:r>
      <w:r>
        <w:t xml:space="preserve"> </w:t>
      </w:r>
      <w:r>
        <w:t xml:space="preserve">replaced with the high band of a random background clip while the</w:t>
      </w:r>
      <w:r>
        <w:t xml:space="preserve"> </w:t>
      </w:r>
      <w:r>
        <w:t xml:space="preserve">low-frequency roar is kept, decorrelating high-frequency texture from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</w:t>
      </w:r>
    </w:p>
    <w:bookmarkEnd w:id="20"/>
    <w:bookmarkEnd w:id="21"/>
    <w:bookmarkEnd w:id="22"/>
    <w:bookmarkStart w:id="28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(Fig. </w:t>
      </w:r>
      <w:hyperlink w:anchor="fig:architecture">
        <w:r>
          <w:rPr>
            <w:rStyle w:val="Hyperlink"/>
          </w:rPr>
          <w:t xml:space="preserve">2</w:t>
        </w:r>
      </w:hyperlink>
      <w:r>
        <w:t xml:space="preserve">) designed to exploit both the spectral</w:t>
      </w:r>
      <w:r>
        <w:t xml:space="preserve"> </w:t>
      </w:r>
      <w:r>
        <w:t xml:space="preserve">location and the temporal rhythm of 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 block4_conv4 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27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occurred,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stream: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ReLU,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input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Start w:id="26" w:name="fig:architecture"/>
    <w:p>
      <w:pPr>
        <w:pStyle w:val="CaptionedFigure"/>
      </w:pPr>
      <w:r>
        <w:drawing>
          <wp:inline>
            <wp:extent cx="3200400" cy="414716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odel_architecture_v1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147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architecture. A VGG19 backbone (the block4_conv4</w:t>
      </w:r>
      <w:r>
        <w:t xml:space="preserve"> </w:t>
      </w:r>
      <w:r>
        <w:t xml:space="preserve">feature map) is augmented with a frequency-coordinate (CoordConv) channel, then</w:t>
      </w:r>
      <w:r>
        <w:t xml:space="preserve"> </w:t>
      </w:r>
      <w:r>
        <w:t xml:space="preserve">split into four mel-frequency bands processed by per-band and cross-band 1-D</w:t>
      </w:r>
      <w:r>
        <w:t xml:space="preserve"> </w:t>
      </w:r>
      <w:r>
        <w:t xml:space="preserve">convolutions, summarized by a bidirectional LSTM with combined global max- and</w:t>
      </w:r>
      <w:r>
        <w:t xml:space="preserve"> </w:t>
      </w:r>
      <w:r>
        <w:t xml:space="preserve">average-pooling, and classified by two dense layers and a four-way softmax. The</w:t>
      </w:r>
      <w:r>
        <w:t xml:space="preserve"> </w:t>
      </w:r>
      <w:r>
        <w:t xml:space="preserve">frequency-position encoding and the per-band split are the components added to</w:t>
      </w:r>
      <w:r>
        <w:t xml:space="preserve"> </w:t>
      </w:r>
      <w:r>
        <w:t xml:space="preserve">suppress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positives. Output tensor shapes are shown on</w:t>
      </w:r>
      <w:r>
        <w:t xml:space="preserve"> </w:t>
      </w:r>
      <w:r>
        <w:t xml:space="preserve">the right.</w:t>
      </w:r>
    </w:p>
    <w:bookmarkEnd w:id="26"/>
    <w:bookmarkEnd w:id="27"/>
    <w:bookmarkEnd w:id="28"/>
    <w:bookmarkStart w:id="32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9" w:name="stage-1-head-training."/>
    <w:p>
      <w:pPr>
        <w:pStyle w:val="Heading4"/>
      </w:pPr>
      <w:r>
        <w:t xml:space="preserve">Stage 1: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9"/>
    <w:bookmarkStart w:id="30" w:name="stage-2-partial-fine-tuning."/>
    <w:p>
      <w:pPr>
        <w:pStyle w:val="Heading4"/>
      </w:pPr>
      <w:r>
        <w:t xml:space="preserve">Stage 2: Partial fine-tuning.</w:t>
      </w:r>
    </w:p>
    <w:p>
      <w:pPr>
        <w:pStyle w:val="FirstParagraph"/>
      </w:pPr>
      <w:r>
        <w:t xml:space="preserve">Because the VGG19 base is truncated at block4_conv4</w:t>
      </w:r>
      <w:r>
        <w:t xml:space="preserve"> </w:t>
      </w:r>
      <w:r>
        <w:t xml:space="preserve">(Section 4), its trainable portion spans blocks 1–4. The last two of these</w:t>
      </w:r>
      <w:r>
        <w:t xml:space="preserve"> </w:t>
      </w:r>
      <w:r>
        <w:t xml:space="preserve">blocks (the block3 and block4 convolutional layers) are</w:t>
      </w:r>
      <w:r>
        <w:t xml:space="preserve"> </w:t>
      </w:r>
      <w:r>
        <w:t xml:space="preserve">unfrozen, while block1 and block2 remain frozen to preserve</w:t>
      </w:r>
      <w:r>
        <w:t xml:space="preserve"> </w:t>
      </w:r>
      <w:r>
        <w:t xml:space="preserve">low-level features; this makes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12.3 M parameters trainable. The</w:t>
      </w:r>
      <w:r>
        <w:t xml:space="preserve"> </w:t>
      </w:r>
      <w:r>
        <w:t xml:space="preserve">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 avoid catastrophic</w:t>
      </w:r>
      <w:r>
        <w:t xml:space="preserve"> </w:t>
      </w:r>
      <w:r>
        <w:t xml:space="preserve">forgetting.</w:t>
      </w:r>
    </w:p>
    <w:bookmarkEnd w:id="30"/>
    <w:bookmarkStart w:id="31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loss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31"/>
    <w:bookmarkEnd w:id="32"/>
    <w:bookmarkStart w:id="34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and, equally important,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33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dropped from</w:t>
      </w:r>
      <w:r>
        <w:t xml:space="preserve"> </w:t>
      </w:r>
      <w:r>
        <w:t xml:space="preserve">the detection list (i.e. treated as non-target Background). The threshold was</w:t>
      </w:r>
      <w:r>
        <w:t xml:space="preserve"> </w:t>
      </w:r>
      <w:r>
        <w:t xml:space="preserve">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low-frequency ratio is also written as a column</w:t>
      </w:r>
      <w:r>
        <w:t xml:space="preserve"> </w:t>
      </w:r>
      <w:r>
        <w:t xml:space="preserve">in the output CSV for every retained detection, so detections can be ranked or</w:t>
      </w:r>
      <w:r>
        <w:t xml:space="preserve"> </w:t>
      </w:r>
      <w:r>
        <w:t xml:space="preserve">re-inspected by it.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33"/>
    <w:bookmarkEnd w:id="34"/>
    <w:bookmarkStart w:id="38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35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the curated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35"/>
    <w:bookmarkStart w:id="36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36"/>
    <w:bookmarkStart w:id="37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 flag-reason column), and strong false positives are</w:t>
      </w:r>
      <w:r>
        <w:t xml:space="preserve"> </w:t>
      </w:r>
      <w:r>
        <w:t xml:space="preserve">exported as labelled WAV clips for the next stage.</w:t>
      </w:r>
    </w:p>
    <w:bookmarkEnd w:id="37"/>
    <w:bookmarkEnd w:id="38"/>
    <w:bookmarkStart w:id="39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 Colobus_confuser)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9"/>
    <w:bookmarkStart w:id="40" w:name="X82f8dbe80f0e99a5ca56c337b4aca15a6dbffa4"/>
    <w:p>
      <w:pPr>
        <w:pStyle w:val="Heading2"/>
      </w:pPr>
      <w:r>
        <w:t xml:space="preserve">9. Reproducibility and reuse on new species or sites</w:t>
      </w:r>
    </w:p>
    <w:p>
      <w:pPr>
        <w:pStyle w:val="FirstParagraph"/>
      </w:pPr>
      <w:r>
        <w:t xml:space="preserve">The complete method is released as a self-contained repository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) designed to be run by</w:t>
      </w:r>
      <w:r>
        <w:t xml:space="preserve"> </w:t>
      </w:r>
      <w:r>
        <w:t xml:space="preserve">others, not only read. Two Jupyter notebooks reproduce the entire workflow on a</w:t>
      </w:r>
      <w:r>
        <w:t xml:space="preserve"> </w:t>
      </w:r>
      <w:r>
        <w:t xml:space="preserve">local machine with no code editing:</w:t>
      </w:r>
      <w:r>
        <w:t xml:space="preserve"> </w:t>
      </w:r>
      <w:r>
        <w:rPr>
          <w:rStyle w:val="VerbatimChar"/>
        </w:rPr>
        <w:t xml:space="preserve">main_local.ipynb</w:t>
      </w:r>
      <w:r>
        <w:t xml:space="preserve"> </w:t>
      </w:r>
      <w:r>
        <w:t xml:space="preserve">runs</w:t>
      </w:r>
      <w:r>
        <w:t xml:space="preserve"> </w:t>
      </w:r>
      <w:r>
        <w:t xml:space="preserve">preprocessing, training, and sliding-window detection end-to-end, and</w:t>
      </w:r>
      <w:r>
        <w:t xml:space="preserve"> </w:t>
      </w:r>
      <w:r>
        <w:rPr>
          <w:rStyle w:val="VerbatimChar"/>
        </w:rPr>
        <w:t xml:space="preserve">auto_cleanup_local.ipynb</w:t>
      </w:r>
      <w:r>
        <w:t xml:space="preserve"> </w:t>
      </w:r>
      <w:r>
        <w:t xml:space="preserve">runs the three-filter false-positive cleanup</w:t>
      </w:r>
      <w:r>
        <w:t xml:space="preserve"> </w:t>
      </w:r>
      <w:r>
        <w:t xml:space="preserve">of Section 7. Both notebooks locate the project automatically, detect and use a</w:t>
      </w:r>
      <w:r>
        <w:t xml:space="preserve"> </w:t>
      </w:r>
      <w:r>
        <w:t xml:space="preserve">GPU if one is present (falling back to CPU otherwise), and load the published</w:t>
      </w:r>
      <w:r>
        <w:t xml:space="preserve"> </w:t>
      </w:r>
      <w:r>
        <w:t xml:space="preserve">V12 model directly. A step-by-step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takes a user from a fresh</w:t>
      </w:r>
      <w:r>
        <w:t xml:space="preserve"> </w:t>
      </w:r>
      <w:r>
        <w:t xml:space="preserve">machine to a running notebook, and the Python dependencies are pinned so that</w:t>
      </w:r>
      <w:r>
        <w:t xml:space="preserve"> </w:t>
      </w:r>
      <w:r>
        <w:t xml:space="preserve">the exact software environment used to train the released model can be recreated</w:t>
      </w:r>
      <w:r>
        <w:t xml:space="preserve"> </w:t>
      </w:r>
      <w:r>
        <w:t xml:space="preserve">on Windows, macOS, or Linux.</w:t>
      </w:r>
    </w:p>
    <w:p>
      <w:pPr>
        <w:pStyle w:val="BodyText"/>
      </w:pPr>
      <w:r>
        <w:t xml:space="preserve">Crucially, the pipeline is</w:t>
      </w:r>
      <w:r>
        <w:t xml:space="preserve"> </w:t>
      </w:r>
      <w:r>
        <w:rPr>
          <w:i/>
          <w:iCs/>
        </w:rPr>
        <w:t xml:space="preserve">configuration-driven</w:t>
      </w:r>
      <w:r>
        <w:t xml:space="preserve">: all paths, class</w:t>
      </w:r>
      <w:r>
        <w:t xml:space="preserve"> </w:t>
      </w:r>
      <w:r>
        <w:t xml:space="preserve">definitions, audio parameters, and hyperparameters live in a single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. Re-targeting the method to a different species or field site</w:t>
      </w:r>
      <w:r>
        <w:t xml:space="preserve"> </w:t>
      </w:r>
      <w:r>
        <w:t xml:space="preserve">requires no change to the source code. A user drops their own labelled reference</w:t>
      </w:r>
      <w:r>
        <w:t xml:space="preserve"> </w:t>
      </w:r>
      <w:r>
        <w:t xml:space="preserve">clips into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folders, lists the new class names in the</w:t>
      </w:r>
      <w:r>
        <w:t xml:space="preserve"> </w:t>
      </w:r>
      <w:r>
        <w:rPr>
          <w:rStyle w:val="VerbatimChar"/>
        </w:rPr>
        <w:t xml:space="preserve">SPECIES_FOLDERS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BACKGROUND_FOLDERS</w:t>
      </w:r>
      <w:r>
        <w:t xml:space="preserve"> </w:t>
      </w:r>
      <w:r>
        <w:t xml:space="preserve">dictionaries, and</w:t>
      </w:r>
      <w:r>
        <w:t xml:space="preserve"> </w:t>
      </w:r>
      <w:r>
        <w:t xml:space="preserve">re-runs the same notebook; the number of output classes, class weighting, and</w:t>
      </w:r>
      <w:r>
        <w:t xml:space="preserve"> </w:t>
      </w:r>
      <w:r>
        <w:t xml:space="preserve">the detection grouping all follow automatically from that configuration. The</w:t>
      </w:r>
      <w:r>
        <w:t xml:space="preserve"> </w:t>
      </w:r>
      <w:r>
        <w:t xml:space="preserve">frequency-position head, confuser-class mechanism, and three-filter cleanup are</w:t>
      </w:r>
      <w:r>
        <w:t xml:space="preserve"> </w:t>
      </w:r>
      <w:r>
        <w:t xml:space="preserve">generic and apply unchanged to any new target call. In this way the repository</w:t>
      </w:r>
      <w:r>
        <w:t xml:space="preserve"> </w:t>
      </w:r>
      <w:r>
        <w:t xml:space="preserve">functions both as an exact reproduction of the results reported here and as a</w:t>
      </w:r>
      <w:r>
        <w:t xml:space="preserve"> </w:t>
      </w:r>
      <w:r>
        <w:t xml:space="preserve">reusable template for new passive-acoustic-monitoring problems.</w:t>
      </w:r>
    </w:p>
    <w:bookmarkEnd w:id="40"/>
    <w:bookmarkEnd w:id="41"/>
    <w:bookmarkStart w:id="55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52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(the frequency-position-aware head with</w:t>
      </w:r>
      <w:r>
        <w:t xml:space="preserve"> </w:t>
      </w:r>
      <w:r>
        <w:t xml:space="preserve">high-frequency nuisance augmentation)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3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45" w:name="fig:training"/>
    <w:p>
      <w:pPr>
        <w:pStyle w:val="CaptionedFigure"/>
      </w:pPr>
      <w:r>
        <w:drawing>
          <wp:inline>
            <wp:extent cx="5334000" cy="21211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training_curves_v1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45"/>
    <w:bookmarkStart w:id="46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46"/>
    <w:p/>
    <w:bookmarkStart w:id="47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47"/>
    <w:bookmarkStart w:id="51" w:name="fig:confusion"/>
    <w:p>
      <w:pPr>
        <w:pStyle w:val="CaptionedFigure"/>
      </w:pPr>
      <w:r>
        <w:drawing>
          <wp:inline>
            <wp:extent cx="3467100" cy="292348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confusion_matrix_v12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3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51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4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</w:t>
      </w:r>
    </w:p>
    <w:bookmarkEnd w:id="52"/>
    <w:bookmarkStart w:id="53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run on the continuous recordings from all available acoustic</w:t>
      </w:r>
      <w:r>
        <w:t xml:space="preserve"> </w:t>
      </w:r>
      <w:r>
        <w:t xml:space="preserve">stations; one 2 s clip is exported for every detection that survives the</w:t>
      </w:r>
      <w:r>
        <w:t xml:space="preserve"> </w:t>
      </w:r>
      <w:r>
        <w:t xml:space="preserve">low-frequency energy gate. As an architecture-level check during development,</w:t>
      </w:r>
      <w:r>
        <w:t xml:space="preserve"> </w:t>
      </w:r>
      <w:r>
        <w:t xml:space="preserve">the position-aware head (with the frequency-position encoding) was compared</w:t>
      </w:r>
      <w:r>
        <w:t xml:space="preserve"> </w:t>
      </w:r>
      <w:r>
        <w:t xml:space="preserve">against the earlier position-blind head on a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</w:t>
      </w:r>
      <w:r>
        <w:t xml:space="preserve"> </w:t>
      </w:r>
      <w:r>
        <w:t xml:space="preserve">clips: of six high-frequency bird false positives that the position-blind head</w:t>
      </w:r>
      <w:r>
        <w:t xml:space="preserve"> </w:t>
      </w:r>
      <w:r>
        <w:t xml:space="preserve">had 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the position-aware head reclassified</w:t>
      </w:r>
      <w:r>
        <w:t xml:space="preserve"> </w:t>
      </w:r>
      <w:r>
        <w:t xml:space="preserve">five as Background or confuser 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 confidence, confirming that the frequency-position</w:t>
      </w:r>
      <w:r>
        <w:t xml:space="preserve"> </w:t>
      </w:r>
      <w:r>
        <w:t xml:space="preserve">encoding suppresses the high-frequency confusion rather than trading away true</w:t>
      </w:r>
      <w:r>
        <w:t xml:space="preserve"> </w:t>
      </w:r>
      <w:r>
        <w:t xml:space="preserve">positives. The final (V12) model adds the high-frequency nuisance augmentation</w:t>
      </w:r>
      <w:r>
        <w:t xml:space="preserve"> </w:t>
      </w:r>
      <w:r>
        <w:t xml:space="preserve">and the calibrated low-frequency gate on top of this encoding and is the</w:t>
      </w:r>
      <w:r>
        <w:t xml:space="preserve"> </w:t>
      </w:r>
      <w:r>
        <w:t xml:space="preserve">version deployed across all stations.</w:t>
      </w:r>
      <w:r>
        <w:t xml:space="preserve"> </w:t>
      </w:r>
      <w:r>
        <w:rPr>
          <w:b/>
          <w:bCs/>
        </w:rPr>
        <w:t xml:space="preserve">[TODO: the number of stations and recordings processed, the aggregate</w:t>
      </w:r>
      <w:r>
        <w:rPr>
          <w:b/>
          <w:bCs/>
        </w:rPr>
        <w:t xml:space="preserve"> </w:t>
      </w:r>
      <w:r>
        <w:rPr>
          <w:b/>
          <w:bCs/>
        </w:rPr>
        <w:t xml:space="preserve">and per-station detection counts, the Cernic detections retained after manual</w:t>
      </w:r>
      <w:r>
        <w:rPr>
          <w:b/>
          <w:bCs/>
        </w:rPr>
        <w:t xml:space="preserve"> </w:t>
      </w:r>
      <w:r>
        <w:rPr>
          <w:b/>
          <w:bCs/>
        </w:rPr>
        <w:t xml:space="preserve">review, and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Colobus</w:t>
      </w:r>
      <w:r>
        <w:rPr>
          <w:b/>
          <w:bCs/>
        </w:rPr>
        <w:t xml:space="preserve"> </w:t>
      </w:r>
      <w:r>
        <w:rPr>
          <w:b/>
          <w:bCs/>
        </w:rPr>
        <w:t xml:space="preserve">false-positive counts, to be filled in once</w:t>
      </w:r>
      <w:r>
        <w:rPr>
          <w:b/>
          <w:bCs/>
        </w:rPr>
        <w:t xml:space="preserve"> </w:t>
      </w:r>
      <w:r>
        <w:rPr>
          <w:b/>
          <w:bCs/>
        </w:rPr>
        <w:t xml:space="preserve">processing completes.]</w:t>
      </w:r>
    </w:p>
    <w:bookmarkEnd w:id="53"/>
    <w:bookmarkStart w:id="54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the</w:t>
      </w:r>
      <w:r>
        <w:t xml:space="preserve"> </w:t>
      </w:r>
      <w:r>
        <w:t xml:space="preserve">development recordings during earlier, three-class iterations. A</w:t>
      </w:r>
      <w:r>
        <w:t xml:space="preserve"> </w:t>
      </w:r>
      <w:r>
        <w:t xml:space="preserve">frequency-band pooling head fired on essentially every loud non-target</w:t>
      </w:r>
      <w:r>
        <w:t xml:space="preserve"> </w:t>
      </w:r>
      <w:r>
        <w:t xml:space="preserve">sound; adding a temporal CRNN head with Conv1D and a bidirectional LSTM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 Colobus_confuser class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</w:t>
      </w:r>
    </w:p>
    <w:bookmarkEnd w:id="54"/>
    <w:bookmarkEnd w:id="55"/>
    <w:bookmarkStart w:id="56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(mostly brief</w:t>
      </w:r>
      <w:r>
        <w:t xml:space="preserve"> </w:t>
      </w:r>
      <w:r>
        <w:t xml:space="preserve">hacks and pyows embedded in loud ambient noise)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optional time-of-day filter, if</w:t>
      </w:r>
      <w:r>
        <w:t xml:space="preserve"> </w:t>
      </w:r>
      <w:r>
        <w:t xml:space="preserve">enabled, is 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56"/>
    <w:bookmarkStart w:id="57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animals, no</w:t>
      </w:r>
      <w:r>
        <w:t xml:space="preserve"> </w:t>
      </w:r>
      <w:r>
        <w:t xml:space="preserve">human subjects, and no data collected from social-media platforms. As a</w:t>
      </w:r>
      <w:r>
        <w:t xml:space="preserve"> </w:t>
      </w:r>
      <w:r>
        <w:t xml:space="preserve">non-invasive, observational study it did not require animal-research</w:t>
      </w:r>
      <w:r>
        <w:t xml:space="preserve"> </w:t>
      </w:r>
      <w:r>
        <w:t xml:space="preserve">ethics-committee approval.</w:t>
      </w:r>
      <w:r>
        <w:t xml:space="preserve"> </w:t>
      </w:r>
      <w:r>
        <w:rPr>
          <w:b/>
          <w:bCs/>
        </w:rPr>
        <w:t xml:space="preserve">[If a permit was required to collect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 recordings, add: field recordings were collected under permit [number]</w:t>
      </w:r>
      <w:r>
        <w:rPr>
          <w:b/>
          <w:bCs/>
        </w:rPr>
        <w:t xml:space="preserve"> </w:t>
      </w:r>
      <w:r>
        <w:rPr>
          <w:b/>
          <w:bCs/>
        </w:rPr>
        <w:t xml:space="preserve">issued by [authority]; otherwise delete this sentence.]</w:t>
      </w:r>
    </w:p>
    <w:bookmarkEnd w:id="57"/>
    <w:bookmarkStart w:id="58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58"/>
    <w:bookmarkStart w:id="59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59"/>
    <w:bookmarkStart w:id="60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60"/>
    <w:bookmarkStart w:id="61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61"/>
    <w:bookmarkStart w:id="71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 configuration 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62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63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64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65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66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67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68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69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70">
        <w:r>
          <w:rPr>
            <w:rStyle w:val="Hyperlink"/>
          </w:rPr>
          <w:t xml:space="preserve">https://doi.org/10.25080/Majora-7b98e3ed-003</w:t>
        </w:r>
      </w:hyperlink>
    </w:p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48" Target="media/rId48.png" /><Relationship Type="http://schemas.openxmlformats.org/officeDocument/2006/relationships/image" Id="rId23" Target="media/rId23.png" /><Relationship Type="http://schemas.openxmlformats.org/officeDocument/2006/relationships/image" Id="rId42" Target="media/rId42.png" /><Relationship Type="http://schemas.openxmlformats.org/officeDocument/2006/relationships/hyperlink" Id="rId62" Target="https://doi.org/10.1002/ajp.23666" TargetMode="External" /><Relationship Type="http://schemas.openxmlformats.org/officeDocument/2006/relationships/hyperlink" Id="rId63" Target="https://doi.org/10.1016/j.ecolind.2022.109621" TargetMode="External" /><Relationship Type="http://schemas.openxmlformats.org/officeDocument/2006/relationships/hyperlink" Id="rId65" Target="https://doi.org/10.1109/CVPR.2009.5206848" TargetMode="External" /><Relationship Type="http://schemas.openxmlformats.org/officeDocument/2006/relationships/hyperlink" Id="rId67" Target="https://doi.org/10.1109/ICASSP.2017.7952132" TargetMode="External" /><Relationship Type="http://schemas.openxmlformats.org/officeDocument/2006/relationships/hyperlink" Id="rId66" Target="https://doi.org/10.1109/ICASSP.2017.7952261" TargetMode="External" /><Relationship Type="http://schemas.openxmlformats.org/officeDocument/2006/relationships/hyperlink" Id="rId70" Target="https://doi.org/10.25080/Majora-7b98e3ed-003" TargetMode="External" /><Relationship Type="http://schemas.openxmlformats.org/officeDocument/2006/relationships/hyperlink" Id="rId64" Target="https://doi.org/10.48550/arXiv.1409.1556" TargetMode="External" /><Relationship Type="http://schemas.openxmlformats.org/officeDocument/2006/relationships/hyperlink" Id="rId69" Target="https://doi.org/10.48550/arXiv.1807.03247" TargetMode="External" /><Relationship Type="http://schemas.openxmlformats.org/officeDocument/2006/relationships/hyperlink" Id="rId68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1002/ajp.23666" TargetMode="External" /><Relationship Type="http://schemas.openxmlformats.org/officeDocument/2006/relationships/hyperlink" Id="rId63" Target="https://doi.org/10.1016/j.ecolind.2022.109621" TargetMode="External" /><Relationship Type="http://schemas.openxmlformats.org/officeDocument/2006/relationships/hyperlink" Id="rId65" Target="https://doi.org/10.1109/CVPR.2009.5206848" TargetMode="External" /><Relationship Type="http://schemas.openxmlformats.org/officeDocument/2006/relationships/hyperlink" Id="rId67" Target="https://doi.org/10.1109/ICASSP.2017.7952132" TargetMode="External" /><Relationship Type="http://schemas.openxmlformats.org/officeDocument/2006/relationships/hyperlink" Id="rId66" Target="https://doi.org/10.1109/ICASSP.2017.7952261" TargetMode="External" /><Relationship Type="http://schemas.openxmlformats.org/officeDocument/2006/relationships/hyperlink" Id="rId70" Target="https://doi.org/10.25080/Majora-7b98e3ed-003" TargetMode="External" /><Relationship Type="http://schemas.openxmlformats.org/officeDocument/2006/relationships/hyperlink" Id="rId64" Target="https://doi.org/10.48550/arXiv.1409.1556" TargetMode="External" /><Relationship Type="http://schemas.openxmlformats.org/officeDocument/2006/relationships/hyperlink" Id="rId69" Target="https://doi.org/10.48550/arXiv.1807.03247" TargetMode="External" /><Relationship Type="http://schemas.openxmlformats.org/officeDocument/2006/relationships/hyperlink" Id="rId68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2026-06-22T22:53:16Z</dcterms:created>
  <dcterms:modified xsi:type="dcterms:W3CDTF">2026-06-22T22:53:16Z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curated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classifier reaches 98% validation accuracy,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