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8.png" ContentType="image/png"/>
  <Override PartName="/word/media/rId23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curated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</w:t>
      </w:r>
      <w:r>
        <w:t xml:space="preserve"> </w:t>
      </w:r>
      <w:r>
        <w:t xml:space="preserve">classifier reaches 98% validation accuracy, with zero confusion between the</w:t>
      </w:r>
      <w:r>
        <w:t xml:space="preserve"> </w:t>
      </w:r>
      <w:r>
        <w:t xml:space="preserve">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, including</w:t>
            </w:r>
            <w:r>
              <w:t xml:space="preserve"> </w:t>
            </w:r>
            <w:r>
              <w:t xml:space="preserve">ready-to-run Jupyter notebooks and a step-by-step</w:t>
            </w:r>
            <w:r>
              <w:t xml:space="preserve"> </w:t>
            </w:r>
            <w:r>
              <w:rPr>
                <w:rStyle w:val="VerbatimChar"/>
              </w:rPr>
              <w:t xml:space="preserve">SETUP.md</w:t>
            </w:r>
            <w:r>
              <w:t xml:space="preserve">, with</w:t>
            </w:r>
            <w:r>
              <w:t xml:space="preserve"> </w:t>
            </w:r>
            <w:r>
              <w:t xml:space="preserve">pinned dependencies for an exactly reproducible environment.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curated,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the curated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Start w:id="40" w:name="X82f8dbe80f0e99a5ca56c337b4aca15a6dbffa4"/>
    <w:p>
      <w:pPr>
        <w:pStyle w:val="Heading2"/>
      </w:pPr>
      <w:r>
        <w:t xml:space="preserve">9. Reproducibility and reuse on new species or sites</w:t>
      </w:r>
    </w:p>
    <w:p>
      <w:pPr>
        <w:pStyle w:val="FirstParagraph"/>
      </w:pPr>
      <w:r>
        <w:t xml:space="preserve">The complete method is released as a self-contained repository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) designed to be run by</w:t>
      </w:r>
      <w:r>
        <w:t xml:space="preserve"> </w:t>
      </w:r>
      <w:r>
        <w:t xml:space="preserve">others, not only read. Its README provides complete, step-by-step documentation,</w:t>
      </w:r>
      <w:r>
        <w:t xml:space="preserve"> </w:t>
      </w:r>
      <w:r>
        <w:t xml:space="preserve">and ready-to-run Jupyter notebooks reproduce the entire workflow — preprocessing,</w:t>
      </w:r>
      <w:r>
        <w:t xml:space="preserve"> </w:t>
      </w:r>
      <w:r>
        <w:t xml:space="preserve">training, sliding-window detection, and the three-filter false-positive cleanup</w:t>
      </w:r>
      <w:r>
        <w:t xml:space="preserve"> </w:t>
      </w:r>
      <w:r>
        <w:t xml:space="preserve">of Section 7 — with no code editing. Notebooks are provided for both running</w:t>
      </w:r>
      <w:r>
        <w:t xml:space="preserve"> </w:t>
      </w:r>
      <w:r>
        <w:t xml:space="preserve">locally (on a personal machine, with automatic use of a GPU if present and a</w:t>
      </w:r>
      <w:r>
        <w:t xml:space="preserve"> </w:t>
      </w:r>
      <w:r>
        <w:t xml:space="preserve">CPU fallback otherwise) and running in the cloud on Google Colab with a free</w:t>
      </w:r>
      <w:r>
        <w:t xml:space="preserve"> </w:t>
      </w:r>
      <w:r>
        <w:t xml:space="preserve">GPU, so users can choose whichever suits their hardware. The Python dependencies</w:t>
      </w:r>
      <w:r>
        <w:t xml:space="preserve"> </w:t>
      </w:r>
      <w:r>
        <w:t xml:space="preserve">are pinned so that the exact software environment used to train the released</w:t>
      </w:r>
      <w:r>
        <w:t xml:space="preserve"> </w:t>
      </w:r>
      <w:r>
        <w:t xml:space="preserve">model can be recreated on Windows, macOS, or Linux.</w:t>
      </w:r>
    </w:p>
    <w:p>
      <w:pPr>
        <w:pStyle w:val="BodyText"/>
      </w:pPr>
      <w:r>
        <w:t xml:space="preserve">Crucially, the pipeline is</w:t>
      </w:r>
      <w:r>
        <w:t xml:space="preserve"> </w:t>
      </w:r>
      <w:r>
        <w:rPr>
          <w:i/>
          <w:iCs/>
        </w:rPr>
        <w:t xml:space="preserve">configuration-driven</w:t>
      </w:r>
      <w:r>
        <w:t xml:space="preserve">: all paths, class</w:t>
      </w:r>
      <w:r>
        <w:t xml:space="preserve"> </w:t>
      </w:r>
      <w:r>
        <w:t xml:space="preserve">definitions, audio parameters,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 Re-targeting the method to a different species or field site</w:t>
      </w:r>
      <w:r>
        <w:t xml:space="preserve"> </w:t>
      </w:r>
      <w:r>
        <w:t xml:space="preserve">requires no change to the source code. A user drops their own labelled reference</w:t>
      </w:r>
      <w:r>
        <w:t xml:space="preserve"> </w:t>
      </w:r>
      <w:r>
        <w:t xml:space="preserve">clips into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folders, lists the new class names in the</w:t>
      </w:r>
      <w:r>
        <w:t xml:space="preserve"> </w:t>
      </w:r>
      <w:r>
        <w:rPr>
          <w:rStyle w:val="VerbatimChar"/>
        </w:rPr>
        <w:t xml:space="preserve">SPECIES_FOLDERS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BACKGROUND_FOLDERS</w:t>
      </w:r>
      <w:r>
        <w:t xml:space="preserve"> </w:t>
      </w:r>
      <w:r>
        <w:t xml:space="preserve">dictionaries, and</w:t>
      </w:r>
      <w:r>
        <w:t xml:space="preserve"> </w:t>
      </w:r>
      <w:r>
        <w:t xml:space="preserve">re-runs the same notebook; the number of output classes, class weighting, and</w:t>
      </w:r>
      <w:r>
        <w:t xml:space="preserve"> </w:t>
      </w:r>
      <w:r>
        <w:t xml:space="preserve">the detection grouping all follow automatically from that configuration. The</w:t>
      </w:r>
      <w:r>
        <w:t xml:space="preserve"> </w:t>
      </w:r>
      <w:r>
        <w:t xml:space="preserve">frequency-position head, confuser-class mechanism, and three-filter cleanup are</w:t>
      </w:r>
      <w:r>
        <w:t xml:space="preserve"> </w:t>
      </w:r>
      <w:r>
        <w:t xml:space="preserve">generic and apply unchanged to any new target call. In this way the repository</w:t>
      </w:r>
      <w:r>
        <w:t xml:space="preserve"> </w:t>
      </w:r>
      <w:r>
        <w:t xml:space="preserve">functions both as an exact reproduction of the results reported here and as a</w:t>
      </w:r>
      <w:r>
        <w:t xml:space="preserve"> </w:t>
      </w:r>
      <w:r>
        <w:t xml:space="preserve">reusable template for new passive-acoustic-monitoring problems.</w:t>
      </w:r>
    </w:p>
    <w:bookmarkEnd w:id="40"/>
    <w:bookmarkEnd w:id="41"/>
    <w:bookmarkStart w:id="5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5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raining_curves_v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5"/>
    <w:bookmarkStart w:id="4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6"/>
    <w:p/>
    <w:bookmarkStart w:id="4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7"/>
    <w:bookmarkStart w:id="51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nfusion_matrix_v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2"/>
    <w:bookmarkStart w:id="5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3"/>
    <w:bookmarkStart w:id="5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4"/>
    <w:bookmarkEnd w:id="55"/>
    <w:bookmarkStart w:id="5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6"/>
    <w:bookmarkStart w:id="5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7"/>
    <w:bookmarkStart w:id="5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8"/>
    <w:bookmarkStart w:id="5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9"/>
    <w:bookmarkStart w:id="6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60"/>
    <w:bookmarkStart w:id="6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1"/>
    <w:bookmarkStart w:id="7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70">
        <w:r>
          <w:rPr>
            <w:rStyle w:val="Hyperlink"/>
          </w:rPr>
          <w:t xml:space="preserve">https://doi.org/10.25080/Majora-7b98e3ed-003</w:t>
        </w:r>
      </w:hyperlink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8" Target="media/rId48.png" /><Relationship Type="http://schemas.openxmlformats.org/officeDocument/2006/relationships/image" Id="rId23" Target="media/rId23.png" /><Relationship Type="http://schemas.openxmlformats.org/officeDocument/2006/relationships/image" Id="rId42" Target="media/rId42.png" /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2026-06-22T22:56:40Z</dcterms:created>
  <dcterms:modified xsi:type="dcterms:W3CDTF">2026-06-22T22:56:40Z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curated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classifier reaches 98% validation accuracy,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