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8.png" ContentType="image/png"/>
  <Override PartName="/word/media/rId23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curated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</w:t>
      </w:r>
      <w:r>
        <w:t xml:space="preserve"> </w:t>
      </w:r>
      <w:r>
        <w:t xml:space="preserve">classifier reaches 98% validation accuracy, with zero confusion between the</w:t>
      </w:r>
      <w:r>
        <w:t xml:space="preserve"> </w:t>
      </w:r>
      <w:r>
        <w:t xml:space="preserve">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, including</w:t>
            </w:r>
            <w:r>
              <w:t xml:space="preserve"> </w:t>
            </w:r>
            <w:r>
              <w:t xml:space="preserve">ready-to-run Jupyter notebooks and a step-by-step</w:t>
            </w:r>
            <w:r>
              <w:t xml:space="preserve"> </w:t>
            </w:r>
            <w:r>
              <w:rPr>
                <w:rStyle w:val="VerbatimChar"/>
              </w:rPr>
              <w:t xml:space="preserve">SETUP.md</w:t>
            </w:r>
            <w:r>
              <w:t xml:space="preserve">, with</w:t>
            </w:r>
            <w:r>
              <w:t xml:space="preserve"> </w:t>
            </w:r>
            <w:r>
              <w:t xml:space="preserve">pinned dependencies for an exactly reproducible environment.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curated,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</w:t>
      </w:r>
      <w:r>
        <w:t xml:space="preserve"> </w:t>
      </w:r>
      <w:r>
        <w:rPr>
          <w:b/>
          <w:bCs/>
        </w:rPr>
        <w:t xml:space="preserve">[cite the putty-nosed call-type source — confirm</w:t>
      </w:r>
      <w:r>
        <w:rPr>
          <w:b/>
          <w:bCs/>
        </w:rPr>
        <w:t xml:space="preserve"> </w:t>
      </w:r>
      <w:r>
        <w:rPr>
          <w:b/>
          <w:bCs/>
        </w:rPr>
        <w:t xml:space="preserve">the reference with the species expert]</w:t>
      </w:r>
      <w:r>
        <w:t xml:space="preserve">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1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 In the runs reported here this filter was not applied</w:t>
      </w:r>
      <w:r>
        <w:t xml:space="preserve"> </w:t>
      </w:r>
      <w:r>
        <w:rPr>
          <w:b/>
          <w:bCs/>
        </w:rPr>
        <w:t xml:space="preserve">[to be confirmed before submission]</w:t>
      </w:r>
      <w:r>
        <w:t xml:space="preserve">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the curated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Start w:id="40" w:name="X82f8dbe80f0e99a5ca56c337b4aca15a6dbffa4"/>
    <w:p>
      <w:pPr>
        <w:pStyle w:val="Heading2"/>
      </w:pPr>
      <w:r>
        <w:t xml:space="preserve">9. Reproducibility and reuse on new species or sites</w:t>
      </w:r>
    </w:p>
    <w:p>
      <w:pPr>
        <w:pStyle w:val="FirstParagraph"/>
      </w:pPr>
      <w:r>
        <w:t xml:space="preserve">The complete method is released as a self-contained repository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) designed to be run by</w:t>
      </w:r>
      <w:r>
        <w:t xml:space="preserve"> </w:t>
      </w:r>
      <w:r>
        <w:t xml:space="preserve">others, not only read. Its README provides complete, step-by-step documentation,</w:t>
      </w:r>
      <w:r>
        <w:t xml:space="preserve"> </w:t>
      </w:r>
      <w:r>
        <w:t xml:space="preserve">and ready-to-run Jupyter notebooks reproduce the entire workflow — preprocessing,</w:t>
      </w:r>
      <w:r>
        <w:t xml:space="preserve"> </w:t>
      </w:r>
      <w:r>
        <w:t xml:space="preserve">training, sliding-window detection, and the three-filter false-positive cleanup</w:t>
      </w:r>
      <w:r>
        <w:t xml:space="preserve"> </w:t>
      </w:r>
      <w:r>
        <w:t xml:space="preserve">of Section 7 — with no code editing. Notebooks are provided for both running</w:t>
      </w:r>
      <w:r>
        <w:t xml:space="preserve"> </w:t>
      </w:r>
      <w:r>
        <w:t xml:space="preserve">locally (on a personal machine, with automatic use of a GPU if present and a</w:t>
      </w:r>
      <w:r>
        <w:t xml:space="preserve"> </w:t>
      </w:r>
      <w:r>
        <w:t xml:space="preserve">CPU fallback otherwise) and running in the cloud on Google Colab with a free</w:t>
      </w:r>
      <w:r>
        <w:t xml:space="preserve"> </w:t>
      </w:r>
      <w:r>
        <w:t xml:space="preserve">GPU, so users can choose whichever suits their hardware. The Python dependencies</w:t>
      </w:r>
      <w:r>
        <w:t xml:space="preserve"> </w:t>
      </w:r>
      <w:r>
        <w:t xml:space="preserve">are pinned so that the exact software environment used to train the released</w:t>
      </w:r>
      <w:r>
        <w:t xml:space="preserve"> </w:t>
      </w:r>
      <w:r>
        <w:t xml:space="preserve">model can be recreated on Windows, macOS, or Linux.</w:t>
      </w:r>
    </w:p>
    <w:p>
      <w:pPr>
        <w:pStyle w:val="BodyText"/>
      </w:pPr>
      <w:r>
        <w:t xml:space="preserve">Crucially, the pipeline is</w:t>
      </w:r>
      <w:r>
        <w:t xml:space="preserve"> </w:t>
      </w:r>
      <w:r>
        <w:rPr>
          <w:i/>
          <w:iCs/>
        </w:rPr>
        <w:t xml:space="preserve">configuration-driven</w:t>
      </w:r>
      <w:r>
        <w:t xml:space="preserve">: all paths, class</w:t>
      </w:r>
      <w:r>
        <w:t xml:space="preserve"> </w:t>
      </w:r>
      <w:r>
        <w:t xml:space="preserve">definitions, audio parameters,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. Re-targeting the method to a different species or field site</w:t>
      </w:r>
      <w:r>
        <w:t xml:space="preserve"> </w:t>
      </w:r>
      <w:r>
        <w:t xml:space="preserve">requires no change to the source code. A user drops their own labelled reference</w:t>
      </w:r>
      <w:r>
        <w:t xml:space="preserve"> </w:t>
      </w:r>
      <w:r>
        <w:t xml:space="preserve">clips into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folders, lists the new class names in the</w:t>
      </w:r>
      <w:r>
        <w:t xml:space="preserve"> </w:t>
      </w:r>
      <w:r>
        <w:rPr>
          <w:rStyle w:val="VerbatimChar"/>
        </w:rPr>
        <w:t xml:space="preserve">SPECIES_FOLDERS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BACKGROUND_FOLDERS</w:t>
      </w:r>
      <w:r>
        <w:t xml:space="preserve"> </w:t>
      </w:r>
      <w:r>
        <w:t xml:space="preserve">dictionaries, and</w:t>
      </w:r>
      <w:r>
        <w:t xml:space="preserve"> </w:t>
      </w:r>
      <w:r>
        <w:t xml:space="preserve">re-runs the same notebook; the number of output classes, class weighting, and</w:t>
      </w:r>
      <w:r>
        <w:t xml:space="preserve"> </w:t>
      </w:r>
      <w:r>
        <w:t xml:space="preserve">the detection grouping all follow automatically from that configuration. The</w:t>
      </w:r>
      <w:r>
        <w:t xml:space="preserve"> </w:t>
      </w:r>
      <w:r>
        <w:t xml:space="preserve">frequency-position head, confuser-class mechanism, and three-filter cleanup are</w:t>
      </w:r>
      <w:r>
        <w:t xml:space="preserve"> </w:t>
      </w:r>
      <w:r>
        <w:t xml:space="preserve">generic and apply unchanged to any new target call. In this way the repository</w:t>
      </w:r>
      <w:r>
        <w:t xml:space="preserve"> </w:t>
      </w:r>
      <w:r>
        <w:t xml:space="preserve">functions both as an exact reproduction of the results reported here and as a</w:t>
      </w:r>
      <w:r>
        <w:t xml:space="preserve"> </w:t>
      </w:r>
      <w:r>
        <w:t xml:space="preserve">reusable template for new passive-acoustic-monitoring problems.</w:t>
      </w:r>
    </w:p>
    <w:bookmarkEnd w:id="40"/>
    <w:bookmarkEnd w:id="41"/>
    <w:bookmarkStart w:id="55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2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5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raining_curves_v1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5"/>
    <w:bookmarkStart w:id="46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6"/>
    <w:p/>
    <w:bookmarkStart w:id="47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7"/>
    <w:bookmarkStart w:id="51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onfusion_matrix_v1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1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</w:t>
      </w:r>
    </w:p>
    <w:bookmarkEnd w:id="52"/>
    <w:bookmarkStart w:id="53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run on the continuous recordings from all available acoustic</w:t>
      </w:r>
      <w:r>
        <w:t xml:space="preserve"> </w:t>
      </w:r>
      <w:r>
        <w:t xml:space="preserve">stations; one 2 s clip is exported for every detection that survives the</w:t>
      </w:r>
      <w:r>
        <w:t xml:space="preserve"> </w:t>
      </w:r>
      <w:r>
        <w:t xml:space="preserve">low-frequency energy gate. As an architecture-level check during development,</w:t>
      </w:r>
      <w:r>
        <w:t xml:space="preserve"> </w:t>
      </w:r>
      <w:r>
        <w:t xml:space="preserve">the position-aware head (with the frequency-position encoding) was compared</w:t>
      </w:r>
      <w:r>
        <w:t xml:space="preserve"> </w:t>
      </w:r>
      <w:r>
        <w:t xml:space="preserve">against the earlier position-blind head on a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</w:t>
      </w:r>
      <w:r>
        <w:t xml:space="preserve"> </w:t>
      </w:r>
      <w:r>
        <w:t xml:space="preserve">clips: of six high-frequency bird false positives that the position-blind head</w:t>
      </w:r>
      <w:r>
        <w:t xml:space="preserve"> </w:t>
      </w:r>
      <w:r>
        <w:t xml:space="preserve">had 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the position-aware head reclassified</w:t>
      </w:r>
      <w:r>
        <w:t xml:space="preserve"> </w:t>
      </w:r>
      <w:r>
        <w:t xml:space="preserve">five as Background or confuser 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 confidence, confirming that the frequency-position</w:t>
      </w:r>
      <w:r>
        <w:t xml:space="preserve"> </w:t>
      </w:r>
      <w:r>
        <w:t xml:space="preserve">encoding suppresses the high-frequency confusion rather than trading away true</w:t>
      </w:r>
      <w:r>
        <w:t xml:space="preserve"> </w:t>
      </w:r>
      <w:r>
        <w:t xml:space="preserve">positives. The final (V12) model adds the high-frequency nuisance augmentation</w:t>
      </w:r>
      <w:r>
        <w:t xml:space="preserve"> </w:t>
      </w:r>
      <w:r>
        <w:t xml:space="preserve">and the calibrated low-frequency gate on top of this encoding and is the</w:t>
      </w:r>
      <w:r>
        <w:t xml:space="preserve"> </w:t>
      </w:r>
      <w:r>
        <w:t xml:space="preserve">version deployed across all stations.</w:t>
      </w:r>
      <w:r>
        <w:t xml:space="preserve"> </w:t>
      </w:r>
      <w:r>
        <w:rPr>
          <w:b/>
          <w:bCs/>
        </w:rPr>
        <w:t xml:space="preserve">[TODO: the number of stations and recordings processed, the 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and per-station detection counts, the Cernic detections retained after manual</w:t>
      </w:r>
      <w:r>
        <w:rPr>
          <w:b/>
          <w:bCs/>
        </w:rPr>
        <w:t xml:space="preserve"> </w:t>
      </w:r>
      <w:r>
        <w:rPr>
          <w:b/>
          <w:bCs/>
        </w:rPr>
        <w:t xml:space="preserve">review, and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Colobus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counts, to be filled in once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 completes.]</w:t>
      </w:r>
    </w:p>
    <w:bookmarkEnd w:id="53"/>
    <w:bookmarkStart w:id="54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the</w:t>
      </w:r>
      <w:r>
        <w:t xml:space="preserve"> </w:t>
      </w:r>
      <w:r>
        <w:t xml:space="preserve">development recordings during earlier, three-class iterations. A</w:t>
      </w:r>
      <w:r>
        <w:t xml:space="preserve"> </w:t>
      </w:r>
      <w:r>
        <w:t xml:space="preserve">frequency-band pooling head fired on essentially every loud non-target</w:t>
      </w:r>
      <w:r>
        <w:t xml:space="preserve"> </w:t>
      </w:r>
      <w:r>
        <w:t xml:space="preserve">sound; adding a temporal CRNN head with Conv1D and a bidirectional LSTM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</w:t>
      </w:r>
    </w:p>
    <w:bookmarkEnd w:id="54"/>
    <w:bookmarkEnd w:id="55"/>
    <w:bookmarkStart w:id="56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optional time-of-day filter, if</w:t>
      </w:r>
      <w:r>
        <w:t xml:space="preserve"> </w:t>
      </w:r>
      <w:r>
        <w:t xml:space="preserve">enabled, is 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6"/>
    <w:bookmarkStart w:id="57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animals, no</w:t>
      </w:r>
      <w:r>
        <w:t xml:space="preserve"> </w:t>
      </w:r>
      <w:r>
        <w:t xml:space="preserve">human subjects, and no data collected from social-media platforms. As a</w:t>
      </w:r>
      <w:r>
        <w:t xml:space="preserve"> </w:t>
      </w:r>
      <w:r>
        <w:t xml:space="preserve">non-invasive, observational study it did not require animal-research</w:t>
      </w:r>
      <w:r>
        <w:t xml:space="preserve"> </w:t>
      </w:r>
      <w:r>
        <w:t xml:space="preserve">ethics-committee approval.</w:t>
      </w:r>
      <w:r>
        <w:t xml:space="preserve"> </w:t>
      </w:r>
      <w:r>
        <w:rPr>
          <w:b/>
          <w:bCs/>
        </w:rPr>
        <w:t xml:space="preserve">[If a permit was required to collect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 recordings, add: field recordings were collected under permit [number]</w:t>
      </w:r>
      <w:r>
        <w:rPr>
          <w:b/>
          <w:bCs/>
        </w:rPr>
        <w:t xml:space="preserve"> </w:t>
      </w:r>
      <w:r>
        <w:rPr>
          <w:b/>
          <w:bCs/>
        </w:rPr>
        <w:t xml:space="preserve">issued by [authority]; otherwise delete this sentence.]</w:t>
      </w:r>
    </w:p>
    <w:bookmarkEnd w:id="57"/>
    <w:bookmarkStart w:id="58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8"/>
    <w:bookmarkStart w:id="59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9"/>
    <w:bookmarkStart w:id="60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60"/>
    <w:bookmarkStart w:id="6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1"/>
    <w:bookmarkStart w:id="71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2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3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5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7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9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70">
        <w:r>
          <w:rPr>
            <w:rStyle w:val="Hyperlink"/>
          </w:rPr>
          <w:t xml:space="preserve">https://doi.org/10.25080/Majora-7b98e3ed-003</w:t>
        </w:r>
      </w:hyperlink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8" Target="media/rId48.png" /><Relationship Type="http://schemas.openxmlformats.org/officeDocument/2006/relationships/image" Id="rId23" Target="media/rId23.png" /><Relationship Type="http://schemas.openxmlformats.org/officeDocument/2006/relationships/image" Id="rId42" Target="media/rId42.png" /><Relationship Type="http://schemas.openxmlformats.org/officeDocument/2006/relationships/hyperlink" Id="rId62" Target="https://doi.org/10.1002/ajp.23666" TargetMode="External" /><Relationship Type="http://schemas.openxmlformats.org/officeDocument/2006/relationships/hyperlink" Id="rId63" Target="https://doi.org/10.1016/j.ecolind.2022.109621" TargetMode="External" /><Relationship Type="http://schemas.openxmlformats.org/officeDocument/2006/relationships/hyperlink" Id="rId65" Target="https://doi.org/10.1109/CVPR.2009.5206848" TargetMode="External" /><Relationship Type="http://schemas.openxmlformats.org/officeDocument/2006/relationships/hyperlink" Id="rId67" Target="https://doi.org/10.1109/ICASSP.2017.7952132" TargetMode="External" /><Relationship Type="http://schemas.openxmlformats.org/officeDocument/2006/relationships/hyperlink" Id="rId66" Target="https://doi.org/10.1109/ICASSP.2017.7952261" TargetMode="External" /><Relationship Type="http://schemas.openxmlformats.org/officeDocument/2006/relationships/hyperlink" Id="rId70" Target="https://doi.org/10.25080/Majora-7b98e3ed-003" TargetMode="External" /><Relationship Type="http://schemas.openxmlformats.org/officeDocument/2006/relationships/hyperlink" Id="rId64" Target="https://doi.org/10.48550/arXiv.1409.1556" TargetMode="External" /><Relationship Type="http://schemas.openxmlformats.org/officeDocument/2006/relationships/hyperlink" Id="rId69" Target="https://doi.org/10.48550/arXiv.1807.03247" TargetMode="External" /><Relationship Type="http://schemas.openxmlformats.org/officeDocument/2006/relationships/hyperlink" Id="rId6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2/ajp.23666" TargetMode="External" /><Relationship Type="http://schemas.openxmlformats.org/officeDocument/2006/relationships/hyperlink" Id="rId63" Target="https://doi.org/10.1016/j.ecolind.2022.109621" TargetMode="External" /><Relationship Type="http://schemas.openxmlformats.org/officeDocument/2006/relationships/hyperlink" Id="rId65" Target="https://doi.org/10.1109/CVPR.2009.5206848" TargetMode="External" /><Relationship Type="http://schemas.openxmlformats.org/officeDocument/2006/relationships/hyperlink" Id="rId67" Target="https://doi.org/10.1109/ICASSP.2017.7952132" TargetMode="External" /><Relationship Type="http://schemas.openxmlformats.org/officeDocument/2006/relationships/hyperlink" Id="rId66" Target="https://doi.org/10.1109/ICASSP.2017.7952261" TargetMode="External" /><Relationship Type="http://schemas.openxmlformats.org/officeDocument/2006/relationships/hyperlink" Id="rId70" Target="https://doi.org/10.25080/Majora-7b98e3ed-003" TargetMode="External" /><Relationship Type="http://schemas.openxmlformats.org/officeDocument/2006/relationships/hyperlink" Id="rId64" Target="https://doi.org/10.48550/arXiv.1409.1556" TargetMode="External" /><Relationship Type="http://schemas.openxmlformats.org/officeDocument/2006/relationships/hyperlink" Id="rId69" Target="https://doi.org/10.48550/arXiv.1807.03247" TargetMode="External" /><Relationship Type="http://schemas.openxmlformats.org/officeDocument/2006/relationships/hyperlink" Id="rId6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2026-06-22T22:55:43Z</dcterms:created>
  <dcterms:modified xsi:type="dcterms:W3CDTF">2026-06-22T22:55:43Z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curated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classifier reaches 98% validation accuracy,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