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0D1A"/>
          <w:sz w:val="48"/>
        </w:rPr>
        <w:t>Proposal of Works</w:t>
        <w:br/>
        <w:t>ASD Essential 8 &amp; Security Governance Audit</w:t>
        <w:br/>
      </w:r>
      <w:r>
        <w:rPr>
          <w:color w:val="0066CC"/>
          <w:sz w:val="26"/>
        </w:rPr>
        <w:t>ACSC Maturity Level 1-3 Verification, ISO 27001 &amp; APRA CPS 234 Audit</w:t>
        <w:br/>
        <w:br/>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60" w:type="dxa"/>
              <w:right w:w="160" w:type="dxa"/>
            </w:tcMar>
          </w:tcPr>
          <w:p>
            <w:pPr>
              <w:jc w:val="left"/>
            </w:pPr>
            <w:r>
              <w:rPr>
                <w:rFonts w:ascii="Arial" w:hAnsi="Arial"/>
                <w:b/>
                <w:color w:val="FFFFFF"/>
                <w:sz w:val="19"/>
              </w:rPr>
              <w:t>Document Control</w:t>
            </w:r>
          </w:p>
        </w:tc>
        <w:tc>
          <w:tcPr>
            <w:tcW w:type="dxa" w:w="6192"/>
            <w:shd w:fill="050D1A"/>
            <w:tcMar>
              <w:top w:w="140" w:type="dxa"/>
              <w:bottom w:w="140" w:type="dxa"/>
              <w:left w:w="160" w:type="dxa"/>
              <w:right w:w="160" w:type="dxa"/>
            </w:tcMar>
          </w:tcPr>
          <w:p>
            <w:pPr>
              <w:jc w:val="left"/>
            </w:pPr>
            <w:r>
              <w:rPr>
                <w:rFonts w:ascii="Arial" w:hAnsi="Arial"/>
                <w:b/>
                <w:color w:val="FFFFFF"/>
                <w:sz w:val="19"/>
              </w:rPr>
              <w:t>Details</w:t>
            </w:r>
          </w:p>
        </w:tc>
      </w:tr>
      <w:tr>
        <w:tc>
          <w:tcPr>
            <w:tcW w:type="dxa" w:w="3168"/>
            <w:shd w:fill="FFFFFF"/>
            <w:tcMar>
              <w:top w:w="100" w:type="dxa"/>
              <w:bottom w:w="100" w:type="dxa"/>
              <w:left w:w="140" w:type="dxa"/>
              <w:right w:w="140" w:type="dxa"/>
            </w:tcMar>
          </w:tcPr>
          <w:p>
            <w:r>
              <w:rPr>
                <w:rFonts w:ascii="Arial" w:hAnsi="Arial"/>
                <w:color w:val="1E2832"/>
                <w:sz w:val="18"/>
              </w:rPr>
              <w:t>Prepared For Client</w:t>
            </w:r>
          </w:p>
        </w:tc>
        <w:tc>
          <w:tcPr>
            <w:tcW w:type="dxa" w:w="6192"/>
            <w:shd w:fill="FFFFFF"/>
            <w:tcMar>
              <w:top w:w="100" w:type="dxa"/>
              <w:bottom w:w="100" w:type="dxa"/>
              <w:left w:w="140" w:type="dxa"/>
              <w:right w:w="140" w:type="dxa"/>
            </w:tcMar>
          </w:tcPr>
          <w:p>
            <w:r>
              <w:rPr>
                <w:rFonts w:ascii="Arial" w:hAnsi="Arial"/>
                <w:color w:val="1E2832"/>
                <w:sz w:val="18"/>
              </w:rPr>
              <w:t>[Client Organisation Name]</w:t>
            </w:r>
          </w:p>
        </w:tc>
      </w:tr>
      <w:tr>
        <w:tc>
          <w:tcPr>
            <w:tcW w:type="dxa" w:w="3168"/>
            <w:shd w:fill="F0F4F8"/>
            <w:tcMar>
              <w:top w:w="100" w:type="dxa"/>
              <w:bottom w:w="100" w:type="dxa"/>
              <w:left w:w="140" w:type="dxa"/>
              <w:right w:w="140" w:type="dxa"/>
            </w:tcMar>
          </w:tcPr>
          <w:p>
            <w:r>
              <w:rPr>
                <w:rFonts w:ascii="Arial" w:hAnsi="Arial"/>
                <w:color w:val="1E2832"/>
                <w:sz w:val="18"/>
              </w:rPr>
              <w:t>Prepared By</w:t>
            </w:r>
          </w:p>
        </w:tc>
        <w:tc>
          <w:tcPr>
            <w:tcW w:type="dxa" w:w="6192"/>
            <w:shd w:fill="F0F4F8"/>
            <w:tcMar>
              <w:top w:w="100" w:type="dxa"/>
              <w:bottom w:w="100" w:type="dxa"/>
              <w:left w:w="140" w:type="dxa"/>
              <w:right w:w="140" w:type="dxa"/>
            </w:tcMar>
          </w:tcPr>
          <w:p>
            <w:r>
              <w:rPr>
                <w:rFonts w:ascii="Arial" w:hAnsi="Arial"/>
                <w:color w:val="1E2832"/>
                <w:sz w:val="18"/>
              </w:rPr>
              <w:t>Force Fortitude Pty Ltd (ABN: 42 691 602 276)</w:t>
            </w:r>
          </w:p>
        </w:tc>
      </w:tr>
      <w:tr>
        <w:tc>
          <w:tcPr>
            <w:tcW w:type="dxa" w:w="3168"/>
            <w:shd w:fill="FFFFFF"/>
            <w:tcMar>
              <w:top w:w="100" w:type="dxa"/>
              <w:bottom w:w="100" w:type="dxa"/>
              <w:left w:w="140" w:type="dxa"/>
              <w:right w:w="140" w:type="dxa"/>
            </w:tcMar>
          </w:tcPr>
          <w:p>
            <w:r>
              <w:rPr>
                <w:rFonts w:ascii="Arial" w:hAnsi="Arial"/>
                <w:color w:val="1E2832"/>
                <w:sz w:val="18"/>
              </w:rPr>
              <w:t>Lead Assessor</w:t>
            </w:r>
          </w:p>
        </w:tc>
        <w:tc>
          <w:tcPr>
            <w:tcW w:type="dxa" w:w="6192"/>
            <w:shd w:fill="FFFFFF"/>
            <w:tcMar>
              <w:top w:w="100" w:type="dxa"/>
              <w:bottom w:w="100" w:type="dxa"/>
              <w:left w:w="140" w:type="dxa"/>
              <w:right w:w="140" w:type="dxa"/>
            </w:tcMar>
          </w:tcPr>
          <w:p>
            <w:r>
              <w:rPr>
                <w:rFonts w:ascii="Arial" w:hAnsi="Arial"/>
                <w:color w:val="1E2832"/>
                <w:sz w:val="18"/>
              </w:rPr>
              <w:t>Mo Qasim (Founder &amp; Principal Assessor, NV2)</w:t>
            </w:r>
          </w:p>
        </w:tc>
      </w:tr>
      <w:tr>
        <w:tc>
          <w:tcPr>
            <w:tcW w:type="dxa" w:w="3168"/>
            <w:shd w:fill="F0F4F8"/>
            <w:tcMar>
              <w:top w:w="100" w:type="dxa"/>
              <w:bottom w:w="100" w:type="dxa"/>
              <w:left w:w="140" w:type="dxa"/>
              <w:right w:w="140" w:type="dxa"/>
            </w:tcMar>
          </w:tcPr>
          <w:p>
            <w:r>
              <w:rPr>
                <w:rFonts w:ascii="Arial" w:hAnsi="Arial"/>
                <w:color w:val="1E2832"/>
                <w:sz w:val="18"/>
              </w:rPr>
              <w:t>Proposal Version</w:t>
            </w:r>
          </w:p>
        </w:tc>
        <w:tc>
          <w:tcPr>
            <w:tcW w:type="dxa" w:w="6192"/>
            <w:shd w:fill="F0F4F8"/>
            <w:tcMar>
              <w:top w:w="100" w:type="dxa"/>
              <w:bottom w:w="100" w:type="dxa"/>
              <w:left w:w="140" w:type="dxa"/>
              <w:right w:w="140" w:type="dxa"/>
            </w:tcMar>
          </w:tcPr>
          <w:p>
            <w:r>
              <w:rPr>
                <w:rFonts w:ascii="Arial" w:hAnsi="Arial"/>
                <w:color w:val="1E2832"/>
                <w:sz w:val="18"/>
              </w:rPr>
              <w:t>1.0 (Final)</w:t>
            </w:r>
          </w:p>
        </w:tc>
      </w:tr>
      <w:tr>
        <w:tc>
          <w:tcPr>
            <w:tcW w:type="dxa" w:w="3168"/>
            <w:shd w:fill="FFFFFF"/>
            <w:tcMar>
              <w:top w:w="100" w:type="dxa"/>
              <w:bottom w:w="100" w:type="dxa"/>
              <w:left w:w="140" w:type="dxa"/>
              <w:right w:w="140" w:type="dxa"/>
            </w:tcMar>
          </w:tcPr>
          <w:p>
            <w:r>
              <w:rPr>
                <w:rFonts w:ascii="Arial" w:hAnsi="Arial"/>
                <w:color w:val="1E2832"/>
                <w:sz w:val="18"/>
              </w:rPr>
              <w:t>Proposal ID</w:t>
            </w:r>
          </w:p>
        </w:tc>
        <w:tc>
          <w:tcPr>
            <w:tcW w:type="dxa" w:w="6192"/>
            <w:shd w:fill="FFFFFF"/>
            <w:tcMar>
              <w:top w:w="100" w:type="dxa"/>
              <w:bottom w:w="100" w:type="dxa"/>
              <w:left w:w="140" w:type="dxa"/>
              <w:right w:w="140" w:type="dxa"/>
            </w:tcMar>
          </w:tcPr>
          <w:p>
            <w:r>
              <w:rPr>
                <w:rFonts w:ascii="Arial" w:hAnsi="Arial"/>
                <w:color w:val="1E2832"/>
                <w:sz w:val="18"/>
              </w:rPr>
              <w:t>FF-PROP-ASD8-2026-05</w:t>
            </w:r>
          </w:p>
        </w:tc>
      </w:tr>
      <w:tr>
        <w:tc>
          <w:tcPr>
            <w:tcW w:type="dxa" w:w="3168"/>
            <w:shd w:fill="F0F4F8"/>
            <w:tcMar>
              <w:top w:w="100" w:type="dxa"/>
              <w:bottom w:w="100" w:type="dxa"/>
              <w:left w:w="140" w:type="dxa"/>
              <w:right w:w="140" w:type="dxa"/>
            </w:tcMar>
          </w:tcPr>
          <w:p>
            <w:r>
              <w:rPr>
                <w:rFonts w:ascii="Arial" w:hAnsi="Arial"/>
                <w:color w:val="1E2832"/>
                <w:sz w:val="18"/>
              </w:rPr>
              <w:t>Date Issued</w:t>
            </w:r>
          </w:p>
        </w:tc>
        <w:tc>
          <w:tcPr>
            <w:tcW w:type="dxa" w:w="6192"/>
            <w:shd w:fill="F0F4F8"/>
            <w:tcMar>
              <w:top w:w="100" w:type="dxa"/>
              <w:bottom w:w="100" w:type="dxa"/>
              <w:left w:w="140" w:type="dxa"/>
              <w:right w:w="140" w:type="dxa"/>
            </w:tcMar>
          </w:tcPr>
          <w:p>
            <w:r>
              <w:rPr>
                <w:rFonts w:ascii="Arial" w:hAnsi="Arial"/>
                <w:color w:val="1E2832"/>
                <w:sz w:val="18"/>
              </w:rPr>
              <w:t>August 2026</w:t>
            </w:r>
          </w:p>
        </w:tc>
      </w:tr>
      <w:tr>
        <w:tc>
          <w:tcPr>
            <w:tcW w:type="dxa" w:w="3168"/>
            <w:shd w:fill="FFFFFF"/>
            <w:tcMar>
              <w:top w:w="100" w:type="dxa"/>
              <w:bottom w:w="100" w:type="dxa"/>
              <w:left w:w="140" w:type="dxa"/>
              <w:right w:w="140" w:type="dxa"/>
            </w:tcMar>
          </w:tcPr>
          <w:p>
            <w:r>
              <w:rPr>
                <w:rFonts w:ascii="Arial" w:hAnsi="Arial"/>
                <w:color w:val="1E2832"/>
                <w:sz w:val="18"/>
              </w:rPr>
              <w:t>Validity</w:t>
            </w:r>
          </w:p>
        </w:tc>
        <w:tc>
          <w:tcPr>
            <w:tcW w:type="dxa" w:w="6192"/>
            <w:shd w:fill="FFFFFF"/>
            <w:tcMar>
              <w:top w:w="100" w:type="dxa"/>
              <w:bottom w:w="100" w:type="dxa"/>
              <w:left w:w="140" w:type="dxa"/>
              <w:right w:w="140" w:type="dxa"/>
            </w:tcMar>
          </w:tcPr>
          <w:p>
            <w:r>
              <w:rPr>
                <w:rFonts w:ascii="Arial" w:hAnsi="Arial"/>
                <w:color w:val="1E2832"/>
                <w:sz w:val="18"/>
              </w:rPr>
              <w:t>30 Days from Issue</w:t>
            </w:r>
          </w:p>
        </w:tc>
      </w:tr>
    </w:tbl>
    <w:p/>
    <w:p>
      <w:pPr>
        <w:pStyle w:val="Heading1"/>
        <w:spacing w:before="320" w:after="160"/>
      </w:pPr>
      <w:r>
        <w:rPr>
          <w:rFonts w:ascii="Arial" w:hAnsi="Arial"/>
          <w:b/>
          <w:color w:val="050D1A"/>
          <w:sz w:val="32"/>
        </w:rPr>
        <w:t>1. Executive Summary &amp; Objective</w:t>
      </w:r>
    </w:p>
    <w:p>
      <w:r>
        <w:rPr>
          <w:sz w:val="19"/>
        </w:rPr>
        <w:t>Force Fortitude Pty Ltd is pleased to present this Proposal of Works for an ASD Essential Eight Maturity Assessment and Cyber Governance Audit. The Australian Cyber Security Centre (ACSC) Essential Eight framework provides the gold-standard mitigation strategies to protect organisations against cyber threats.</w:t>
        <w:br/>
        <w:br/>
        <w:t>Our assessment evaluates your organisation's current maturity across all eight mitigation strategies against Maturity Level 1, Level 2, and Level 3 criteria, delivering an actionable hardening roadmap.</w:t>
      </w:r>
    </w:p>
    <w:p>
      <w:pPr>
        <w:pStyle w:val="Heading1"/>
        <w:spacing w:before="320" w:after="160"/>
      </w:pPr>
      <w:r>
        <w:rPr>
          <w:rFonts w:ascii="Arial" w:hAnsi="Arial"/>
          <w:b/>
          <w:color w:val="050D1A"/>
          <w:sz w:val="32"/>
        </w:rPr>
        <w:t>2. Assessment Scope Across the 8 Mitigation Strategies</w:t>
      </w:r>
    </w:p>
    <w:tbl>
      <w:tblPr>
        <w:tblW w:type="auto" w:w="0"/>
        <w:jc w:val="center"/>
        <w:tblLook w:firstColumn="1" w:firstRow="1" w:lastColumn="0" w:lastRow="0" w:noHBand="0" w:noVBand="1" w:val="04A0"/>
      </w:tblPr>
      <w:tblGrid>
        <w:gridCol w:w="2880"/>
        <w:gridCol w:w="2880"/>
        <w:gridCol w:w="2880"/>
      </w:tblGrid>
      <w:tr>
        <w:tc>
          <w:tcPr>
            <w:tcW w:type="dxa" w:w="2880"/>
            <w:shd w:fill="050D1A"/>
            <w:tcMar>
              <w:top w:w="140" w:type="dxa"/>
              <w:bottom w:w="140" w:type="dxa"/>
              <w:left w:w="160" w:type="dxa"/>
              <w:right w:w="160" w:type="dxa"/>
            </w:tcMar>
          </w:tcPr>
          <w:p>
            <w:pPr>
              <w:jc w:val="left"/>
            </w:pPr>
            <w:r>
              <w:rPr>
                <w:rFonts w:ascii="Arial" w:hAnsi="Arial"/>
                <w:b/>
                <w:color w:val="FFFFFF"/>
                <w:sz w:val="19"/>
              </w:rPr>
              <w:t>Mitigation Strategy</w:t>
            </w:r>
          </w:p>
        </w:tc>
        <w:tc>
          <w:tcPr>
            <w:tcW w:type="dxa" w:w="4608"/>
            <w:shd w:fill="050D1A"/>
            <w:tcMar>
              <w:top w:w="140" w:type="dxa"/>
              <w:bottom w:w="140" w:type="dxa"/>
              <w:left w:w="160" w:type="dxa"/>
              <w:right w:w="160" w:type="dxa"/>
            </w:tcMar>
          </w:tcPr>
          <w:p>
            <w:pPr>
              <w:jc w:val="left"/>
            </w:pPr>
            <w:r>
              <w:rPr>
                <w:rFonts w:ascii="Arial" w:hAnsi="Arial"/>
                <w:b/>
                <w:color w:val="FFFFFF"/>
                <w:sz w:val="19"/>
              </w:rPr>
              <w:t>Audit Focus &amp; Verification Method</w:t>
            </w:r>
          </w:p>
        </w:tc>
        <w:tc>
          <w:tcPr>
            <w:tcW w:type="dxa" w:w="1872"/>
            <w:shd w:fill="050D1A"/>
            <w:tcMar>
              <w:top w:w="140" w:type="dxa"/>
              <w:bottom w:w="140" w:type="dxa"/>
              <w:left w:w="160" w:type="dxa"/>
              <w:right w:w="160" w:type="dxa"/>
            </w:tcMar>
          </w:tcPr>
          <w:p>
            <w:pPr>
              <w:jc w:val="left"/>
            </w:pPr>
            <w:r>
              <w:rPr>
                <w:rFonts w:ascii="Arial" w:hAnsi="Arial"/>
                <w:b/>
                <w:color w:val="FFFFFF"/>
                <w:sz w:val="19"/>
              </w:rPr>
              <w:t>Target Maturity Level</w:t>
            </w:r>
          </w:p>
        </w:tc>
      </w:tr>
      <w:tr>
        <w:tc>
          <w:tcPr>
            <w:tcW w:type="dxa" w:w="2880"/>
            <w:shd w:fill="FFFFFF"/>
            <w:tcMar>
              <w:top w:w="100" w:type="dxa"/>
              <w:bottom w:w="100" w:type="dxa"/>
              <w:left w:w="140" w:type="dxa"/>
              <w:right w:w="140" w:type="dxa"/>
            </w:tcMar>
          </w:tcPr>
          <w:p>
            <w:r>
              <w:rPr>
                <w:rFonts w:ascii="Arial" w:hAnsi="Arial"/>
                <w:color w:val="1E2832"/>
                <w:sz w:val="18"/>
              </w:rPr>
              <w:t>1. Application Control</w:t>
            </w:r>
          </w:p>
        </w:tc>
        <w:tc>
          <w:tcPr>
            <w:tcW w:type="dxa" w:w="4608"/>
            <w:shd w:fill="FFFFFF"/>
            <w:tcMar>
              <w:top w:w="100" w:type="dxa"/>
              <w:bottom w:w="100" w:type="dxa"/>
              <w:left w:w="140" w:type="dxa"/>
              <w:right w:w="140" w:type="dxa"/>
            </w:tcMar>
          </w:tcPr>
          <w:p>
            <w:r>
              <w:rPr>
                <w:rFonts w:ascii="Arial" w:hAnsi="Arial"/>
                <w:color w:val="1E2832"/>
                <w:sz w:val="18"/>
              </w:rPr>
              <w:t>Airlock / AppLocker allowlisting audit across workstations &amp; servers</w:t>
            </w:r>
          </w:p>
        </w:tc>
        <w:tc>
          <w:tcPr>
            <w:tcW w:type="dxa" w:w="1872"/>
            <w:shd w:fill="FFFFFF"/>
            <w:tcMar>
              <w:top w:w="100" w:type="dxa"/>
              <w:bottom w:w="100" w:type="dxa"/>
              <w:left w:w="140" w:type="dxa"/>
              <w:right w:w="140" w:type="dxa"/>
            </w:tcMar>
          </w:tcPr>
          <w:p>
            <w:r>
              <w:rPr>
                <w:rFonts w:ascii="Arial" w:hAnsi="Arial"/>
                <w:color w:val="1E2832"/>
                <w:sz w:val="18"/>
              </w:rPr>
              <w:t>Maturity Level 1 - 3</w:t>
            </w:r>
          </w:p>
        </w:tc>
      </w:tr>
      <w:tr>
        <w:tc>
          <w:tcPr>
            <w:tcW w:type="dxa" w:w="2880"/>
            <w:shd w:fill="F0F4F8"/>
            <w:tcMar>
              <w:top w:w="100" w:type="dxa"/>
              <w:bottom w:w="100" w:type="dxa"/>
              <w:left w:w="140" w:type="dxa"/>
              <w:right w:w="140" w:type="dxa"/>
            </w:tcMar>
          </w:tcPr>
          <w:p>
            <w:r>
              <w:rPr>
                <w:rFonts w:ascii="Arial" w:hAnsi="Arial"/>
                <w:color w:val="1E2832"/>
                <w:sz w:val="18"/>
              </w:rPr>
              <w:t>2. Patch Applications</w:t>
            </w:r>
          </w:p>
        </w:tc>
        <w:tc>
          <w:tcPr>
            <w:tcW w:type="dxa" w:w="4608"/>
            <w:shd w:fill="F0F4F8"/>
            <w:tcMar>
              <w:top w:w="100" w:type="dxa"/>
              <w:bottom w:w="100" w:type="dxa"/>
              <w:left w:w="140" w:type="dxa"/>
              <w:right w:w="140" w:type="dxa"/>
            </w:tcMar>
          </w:tcPr>
          <w:p>
            <w:r>
              <w:rPr>
                <w:rFonts w:ascii="Arial" w:hAnsi="Arial"/>
                <w:color w:val="1E2832"/>
                <w:sz w:val="18"/>
              </w:rPr>
              <w:t>Vulnerability assessment &amp; 48-hour critical patch policy check</w:t>
            </w:r>
          </w:p>
        </w:tc>
        <w:tc>
          <w:tcPr>
            <w:tcW w:type="dxa" w:w="1872"/>
            <w:shd w:fill="F0F4F8"/>
            <w:tcMar>
              <w:top w:w="100" w:type="dxa"/>
              <w:bottom w:w="100" w:type="dxa"/>
              <w:left w:w="140" w:type="dxa"/>
              <w:right w:w="140" w:type="dxa"/>
            </w:tcMar>
          </w:tcPr>
          <w:p>
            <w:r>
              <w:rPr>
                <w:rFonts w:ascii="Arial" w:hAnsi="Arial"/>
                <w:color w:val="1E2832"/>
                <w:sz w:val="18"/>
              </w:rPr>
              <w:t>Maturity Level 1 - 3</w:t>
            </w:r>
          </w:p>
        </w:tc>
      </w:tr>
      <w:tr>
        <w:tc>
          <w:tcPr>
            <w:tcW w:type="dxa" w:w="2880"/>
            <w:shd w:fill="FFFFFF"/>
            <w:tcMar>
              <w:top w:w="100" w:type="dxa"/>
              <w:bottom w:w="100" w:type="dxa"/>
              <w:left w:w="140" w:type="dxa"/>
              <w:right w:w="140" w:type="dxa"/>
            </w:tcMar>
          </w:tcPr>
          <w:p>
            <w:r>
              <w:rPr>
                <w:rFonts w:ascii="Arial" w:hAnsi="Arial"/>
                <w:color w:val="1E2832"/>
                <w:sz w:val="18"/>
              </w:rPr>
              <w:t>3. Configure MS Office Settings</w:t>
            </w:r>
          </w:p>
        </w:tc>
        <w:tc>
          <w:tcPr>
            <w:tcW w:type="dxa" w:w="4608"/>
            <w:shd w:fill="FFFFFF"/>
            <w:tcMar>
              <w:top w:w="100" w:type="dxa"/>
              <w:bottom w:w="100" w:type="dxa"/>
              <w:left w:w="140" w:type="dxa"/>
              <w:right w:w="140" w:type="dxa"/>
            </w:tcMar>
          </w:tcPr>
          <w:p>
            <w:r>
              <w:rPr>
                <w:rFonts w:ascii="Arial" w:hAnsi="Arial"/>
                <w:color w:val="1E2832"/>
                <w:sz w:val="18"/>
              </w:rPr>
              <w:t>Macro blocking &amp; OLE package execution restriction verification</w:t>
            </w:r>
          </w:p>
        </w:tc>
        <w:tc>
          <w:tcPr>
            <w:tcW w:type="dxa" w:w="1872"/>
            <w:shd w:fill="FFFFFF"/>
            <w:tcMar>
              <w:top w:w="100" w:type="dxa"/>
              <w:bottom w:w="100" w:type="dxa"/>
              <w:left w:w="140" w:type="dxa"/>
              <w:right w:w="140" w:type="dxa"/>
            </w:tcMar>
          </w:tcPr>
          <w:p>
            <w:r>
              <w:rPr>
                <w:rFonts w:ascii="Arial" w:hAnsi="Arial"/>
                <w:color w:val="1E2832"/>
                <w:sz w:val="18"/>
              </w:rPr>
              <w:t>Maturity Level 1 - 3</w:t>
            </w:r>
          </w:p>
        </w:tc>
      </w:tr>
      <w:tr>
        <w:tc>
          <w:tcPr>
            <w:tcW w:type="dxa" w:w="2880"/>
            <w:shd w:fill="F0F4F8"/>
            <w:tcMar>
              <w:top w:w="100" w:type="dxa"/>
              <w:bottom w:w="100" w:type="dxa"/>
              <w:left w:w="140" w:type="dxa"/>
              <w:right w:w="140" w:type="dxa"/>
            </w:tcMar>
          </w:tcPr>
          <w:p>
            <w:r>
              <w:rPr>
                <w:rFonts w:ascii="Arial" w:hAnsi="Arial"/>
                <w:color w:val="1E2832"/>
                <w:sz w:val="18"/>
              </w:rPr>
              <w:t>4. User Application Hardening</w:t>
            </w:r>
          </w:p>
        </w:tc>
        <w:tc>
          <w:tcPr>
            <w:tcW w:type="dxa" w:w="4608"/>
            <w:shd w:fill="F0F4F8"/>
            <w:tcMar>
              <w:top w:w="100" w:type="dxa"/>
              <w:bottom w:w="100" w:type="dxa"/>
              <w:left w:w="140" w:type="dxa"/>
              <w:right w:w="140" w:type="dxa"/>
            </w:tcMar>
          </w:tcPr>
          <w:p>
            <w:r>
              <w:rPr>
                <w:rFonts w:ascii="Arial" w:hAnsi="Arial"/>
                <w:color w:val="1E2832"/>
                <w:sz w:val="18"/>
              </w:rPr>
              <w:t>Browser extension restrictions, Java/Flash blocking &amp; web audit</w:t>
            </w:r>
          </w:p>
        </w:tc>
        <w:tc>
          <w:tcPr>
            <w:tcW w:type="dxa" w:w="1872"/>
            <w:shd w:fill="F0F4F8"/>
            <w:tcMar>
              <w:top w:w="100" w:type="dxa"/>
              <w:bottom w:w="100" w:type="dxa"/>
              <w:left w:w="140" w:type="dxa"/>
              <w:right w:w="140" w:type="dxa"/>
            </w:tcMar>
          </w:tcPr>
          <w:p>
            <w:r>
              <w:rPr>
                <w:rFonts w:ascii="Arial" w:hAnsi="Arial"/>
                <w:color w:val="1E2832"/>
                <w:sz w:val="18"/>
              </w:rPr>
              <w:t>Maturity Level 1 - 3</w:t>
            </w:r>
          </w:p>
        </w:tc>
      </w:tr>
      <w:tr>
        <w:tc>
          <w:tcPr>
            <w:tcW w:type="dxa" w:w="2880"/>
            <w:shd w:fill="FFFFFF"/>
            <w:tcMar>
              <w:top w:w="100" w:type="dxa"/>
              <w:bottom w:w="100" w:type="dxa"/>
              <w:left w:w="140" w:type="dxa"/>
              <w:right w:w="140" w:type="dxa"/>
            </w:tcMar>
          </w:tcPr>
          <w:p>
            <w:r>
              <w:rPr>
                <w:rFonts w:ascii="Arial" w:hAnsi="Arial"/>
                <w:color w:val="1E2832"/>
                <w:sz w:val="18"/>
              </w:rPr>
              <w:t>5. Restrict Admin Privileges</w:t>
            </w:r>
          </w:p>
        </w:tc>
        <w:tc>
          <w:tcPr>
            <w:tcW w:type="dxa" w:w="4608"/>
            <w:shd w:fill="FFFFFF"/>
            <w:tcMar>
              <w:top w:w="100" w:type="dxa"/>
              <w:bottom w:w="100" w:type="dxa"/>
              <w:left w:w="140" w:type="dxa"/>
              <w:right w:w="140" w:type="dxa"/>
            </w:tcMar>
          </w:tcPr>
          <w:p>
            <w:r>
              <w:rPr>
                <w:rFonts w:ascii="Arial" w:hAnsi="Arial"/>
                <w:color w:val="1E2832"/>
                <w:sz w:val="18"/>
              </w:rPr>
              <w:t>Domain Admin &amp; Local Admin rights audit, PAM &amp; LAPS review</w:t>
            </w:r>
          </w:p>
        </w:tc>
        <w:tc>
          <w:tcPr>
            <w:tcW w:type="dxa" w:w="1872"/>
            <w:shd w:fill="FFFFFF"/>
            <w:tcMar>
              <w:top w:w="100" w:type="dxa"/>
              <w:bottom w:w="100" w:type="dxa"/>
              <w:left w:w="140" w:type="dxa"/>
              <w:right w:w="140" w:type="dxa"/>
            </w:tcMar>
          </w:tcPr>
          <w:p>
            <w:r>
              <w:rPr>
                <w:rFonts w:ascii="Arial" w:hAnsi="Arial"/>
                <w:color w:val="1E2832"/>
                <w:sz w:val="18"/>
              </w:rPr>
              <w:t>Maturity Level 1 - 3</w:t>
            </w:r>
          </w:p>
        </w:tc>
      </w:tr>
      <w:tr>
        <w:tc>
          <w:tcPr>
            <w:tcW w:type="dxa" w:w="2880"/>
            <w:shd w:fill="F0F4F8"/>
            <w:tcMar>
              <w:top w:w="100" w:type="dxa"/>
              <w:bottom w:w="100" w:type="dxa"/>
              <w:left w:w="140" w:type="dxa"/>
              <w:right w:w="140" w:type="dxa"/>
            </w:tcMar>
          </w:tcPr>
          <w:p>
            <w:r>
              <w:rPr>
                <w:rFonts w:ascii="Arial" w:hAnsi="Arial"/>
                <w:color w:val="1E2832"/>
                <w:sz w:val="18"/>
              </w:rPr>
              <w:t>6. Patch Operating Systems</w:t>
            </w:r>
          </w:p>
        </w:tc>
        <w:tc>
          <w:tcPr>
            <w:tcW w:type="dxa" w:w="4608"/>
            <w:shd w:fill="F0F4F8"/>
            <w:tcMar>
              <w:top w:w="100" w:type="dxa"/>
              <w:bottom w:w="100" w:type="dxa"/>
              <w:left w:w="140" w:type="dxa"/>
              <w:right w:w="140" w:type="dxa"/>
            </w:tcMar>
          </w:tcPr>
          <w:p>
            <w:r>
              <w:rPr>
                <w:rFonts w:ascii="Arial" w:hAnsi="Arial"/>
                <w:color w:val="1E2832"/>
                <w:sz w:val="18"/>
              </w:rPr>
              <w:t>OS patch management cycle &amp; end-of-life OS identification</w:t>
            </w:r>
          </w:p>
        </w:tc>
        <w:tc>
          <w:tcPr>
            <w:tcW w:type="dxa" w:w="1872"/>
            <w:shd w:fill="F0F4F8"/>
            <w:tcMar>
              <w:top w:w="100" w:type="dxa"/>
              <w:bottom w:w="100" w:type="dxa"/>
              <w:left w:w="140" w:type="dxa"/>
              <w:right w:w="140" w:type="dxa"/>
            </w:tcMar>
          </w:tcPr>
          <w:p>
            <w:r>
              <w:rPr>
                <w:rFonts w:ascii="Arial" w:hAnsi="Arial"/>
                <w:color w:val="1E2832"/>
                <w:sz w:val="18"/>
              </w:rPr>
              <w:t>Maturity Level 1 - 3</w:t>
            </w:r>
          </w:p>
        </w:tc>
      </w:tr>
      <w:tr>
        <w:tc>
          <w:tcPr>
            <w:tcW w:type="dxa" w:w="2880"/>
            <w:shd w:fill="FFFFFF"/>
            <w:tcMar>
              <w:top w:w="100" w:type="dxa"/>
              <w:bottom w:w="100" w:type="dxa"/>
              <w:left w:w="140" w:type="dxa"/>
              <w:right w:w="140" w:type="dxa"/>
            </w:tcMar>
          </w:tcPr>
          <w:p>
            <w:r>
              <w:rPr>
                <w:rFonts w:ascii="Arial" w:hAnsi="Arial"/>
                <w:color w:val="1E2832"/>
                <w:sz w:val="18"/>
              </w:rPr>
              <w:t>7. Multi-Factor Authentication</w:t>
            </w:r>
          </w:p>
        </w:tc>
        <w:tc>
          <w:tcPr>
            <w:tcW w:type="dxa" w:w="4608"/>
            <w:shd w:fill="FFFFFF"/>
            <w:tcMar>
              <w:top w:w="100" w:type="dxa"/>
              <w:bottom w:w="100" w:type="dxa"/>
              <w:left w:w="140" w:type="dxa"/>
              <w:right w:w="140" w:type="dxa"/>
            </w:tcMar>
          </w:tcPr>
          <w:p>
            <w:r>
              <w:rPr>
                <w:rFonts w:ascii="Arial" w:hAnsi="Arial"/>
                <w:color w:val="1E2832"/>
                <w:sz w:val="18"/>
              </w:rPr>
              <w:t>MFA enforcement across Entra ID, VPN, remote access &amp; O365</w:t>
            </w:r>
          </w:p>
        </w:tc>
        <w:tc>
          <w:tcPr>
            <w:tcW w:type="dxa" w:w="1872"/>
            <w:shd w:fill="FFFFFF"/>
            <w:tcMar>
              <w:top w:w="100" w:type="dxa"/>
              <w:bottom w:w="100" w:type="dxa"/>
              <w:left w:w="140" w:type="dxa"/>
              <w:right w:w="140" w:type="dxa"/>
            </w:tcMar>
          </w:tcPr>
          <w:p>
            <w:r>
              <w:rPr>
                <w:rFonts w:ascii="Arial" w:hAnsi="Arial"/>
                <w:color w:val="1E2832"/>
                <w:sz w:val="18"/>
              </w:rPr>
              <w:t>Maturity Level 1 - 3</w:t>
            </w:r>
          </w:p>
        </w:tc>
      </w:tr>
      <w:tr>
        <w:tc>
          <w:tcPr>
            <w:tcW w:type="dxa" w:w="2880"/>
            <w:shd w:fill="F0F4F8"/>
            <w:tcMar>
              <w:top w:w="100" w:type="dxa"/>
              <w:bottom w:w="100" w:type="dxa"/>
              <w:left w:w="140" w:type="dxa"/>
              <w:right w:w="140" w:type="dxa"/>
            </w:tcMar>
          </w:tcPr>
          <w:p>
            <w:r>
              <w:rPr>
                <w:rFonts w:ascii="Arial" w:hAnsi="Arial"/>
                <w:color w:val="1E2832"/>
                <w:sz w:val="18"/>
              </w:rPr>
              <w:t>8. Daily Backups</w:t>
            </w:r>
          </w:p>
        </w:tc>
        <w:tc>
          <w:tcPr>
            <w:tcW w:type="dxa" w:w="4608"/>
            <w:shd w:fill="F0F4F8"/>
            <w:tcMar>
              <w:top w:w="100" w:type="dxa"/>
              <w:bottom w:w="100" w:type="dxa"/>
              <w:left w:w="140" w:type="dxa"/>
              <w:right w:w="140" w:type="dxa"/>
            </w:tcMar>
          </w:tcPr>
          <w:p>
            <w:r>
              <w:rPr>
                <w:rFonts w:ascii="Arial" w:hAnsi="Arial"/>
                <w:color w:val="1E2832"/>
                <w:sz w:val="18"/>
              </w:rPr>
              <w:t>Immutable backup verification, restoration testing &amp; air-gapping</w:t>
            </w:r>
          </w:p>
        </w:tc>
        <w:tc>
          <w:tcPr>
            <w:tcW w:type="dxa" w:w="1872"/>
            <w:shd w:fill="F0F4F8"/>
            <w:tcMar>
              <w:top w:w="100" w:type="dxa"/>
              <w:bottom w:w="100" w:type="dxa"/>
              <w:left w:w="140" w:type="dxa"/>
              <w:right w:w="140" w:type="dxa"/>
            </w:tcMar>
          </w:tcPr>
          <w:p>
            <w:r>
              <w:rPr>
                <w:rFonts w:ascii="Arial" w:hAnsi="Arial"/>
                <w:color w:val="1E2832"/>
                <w:sz w:val="18"/>
              </w:rPr>
              <w:t>Maturity Level 1 - 3</w:t>
            </w:r>
          </w:p>
        </w:tc>
      </w:tr>
    </w:tbl>
    <w:p/>
    <w:p>
      <w:pPr>
        <w:pStyle w:val="Heading1"/>
        <w:spacing w:before="320" w:after="160"/>
      </w:pPr>
      <w:r>
        <w:rPr>
          <w:rFonts w:ascii="Arial" w:hAnsi="Arial"/>
          <w:b/>
          <w:color w:val="050D1A"/>
          <w:sz w:val="32"/>
        </w:rPr>
        <w:t>3. Assessment Methodology &amp; Governance Frameworks</w:t>
      </w:r>
    </w:p>
    <w:p>
      <w:r>
        <w:rPr>
          <w:sz w:val="19"/>
        </w:rPr>
        <w:t>Our assessment methodology aligns with TAFE NSW Essential Eight Assessor qualifications and Defence Force Cyber College ISMS Lead Auditor standards:</w:t>
        <w:br/>
        <w:br/>
        <w:t>• Technical Evidence Collection: Group Policy (GPO) inspection, Entra ID configuration audit, registry policy verification, and endpoint sampling.</w:t>
        <w:br/>
        <w:t>• Gap Analysis &amp; Maturity Scoring: Rating each strategy against ACSC Maturity Level 1, 2, or 3 specifications.</w:t>
        <w:br/>
        <w:t>• Alignment Mapping: Mapping findings to APRA CPS 234, Privacy Act 1988, and ISO 27001 Annex A.12.6 controls.</w:t>
      </w:r>
    </w:p>
    <w:p>
      <w:pPr>
        <w:pStyle w:val="Heading1"/>
        <w:spacing w:before="320" w:after="160"/>
      </w:pPr>
      <w:r>
        <w:rPr>
          <w:rFonts w:ascii="Arial" w:hAnsi="Arial"/>
          <w:b/>
          <w:color w:val="050D1A"/>
          <w:sz w:val="32"/>
        </w:rPr>
        <w:t>4. Pricing &amp; Investment Schedule</w:t>
      </w:r>
    </w:p>
    <w:tbl>
      <w:tblPr>
        <w:tblW w:type="auto" w:w="0"/>
        <w:jc w:val="center"/>
        <w:tblLook w:firstColumn="1" w:firstRow="1" w:lastColumn="0" w:lastRow="0" w:noHBand="0" w:noVBand="1" w:val="04A0"/>
      </w:tblPr>
      <w:tblGrid>
        <w:gridCol w:w="2160"/>
        <w:gridCol w:w="2160"/>
        <w:gridCol w:w="2160"/>
        <w:gridCol w:w="2160"/>
      </w:tblGrid>
      <w:tr>
        <w:tc>
          <w:tcPr>
            <w:tcW w:type="dxa" w:w="4032"/>
            <w:shd w:fill="050D1A"/>
            <w:tcMar>
              <w:top w:w="140" w:type="dxa"/>
              <w:bottom w:w="140" w:type="dxa"/>
              <w:left w:w="160" w:type="dxa"/>
              <w:right w:w="160" w:type="dxa"/>
            </w:tcMar>
          </w:tcPr>
          <w:p>
            <w:pPr>
              <w:jc w:val="left"/>
            </w:pPr>
            <w:r>
              <w:rPr>
                <w:rFonts w:ascii="Arial" w:hAnsi="Arial"/>
                <w:b/>
                <w:color w:val="FFFFFF"/>
                <w:sz w:val="19"/>
              </w:rPr>
              <w:t>Audit Component</w:t>
            </w:r>
          </w:p>
        </w:tc>
        <w:tc>
          <w:tcPr>
            <w:tcW w:type="dxa" w:w="1440"/>
            <w:shd w:fill="050D1A"/>
            <w:tcMar>
              <w:top w:w="140" w:type="dxa"/>
              <w:bottom w:w="140" w:type="dxa"/>
              <w:left w:w="160" w:type="dxa"/>
              <w:right w:w="160" w:type="dxa"/>
            </w:tcMar>
          </w:tcPr>
          <w:p>
            <w:pPr>
              <w:jc w:val="left"/>
            </w:pPr>
            <w:r>
              <w:rPr>
                <w:rFonts w:ascii="Arial" w:hAnsi="Arial"/>
                <w:b/>
                <w:color w:val="FFFFFF"/>
                <w:sz w:val="19"/>
              </w:rPr>
              <w:t>Duration</w:t>
            </w:r>
          </w:p>
        </w:tc>
        <w:tc>
          <w:tcPr>
            <w:tcW w:type="dxa" w:w="1872"/>
            <w:shd w:fill="050D1A"/>
            <w:tcMar>
              <w:top w:w="140" w:type="dxa"/>
              <w:bottom w:w="140" w:type="dxa"/>
              <w:left w:w="160" w:type="dxa"/>
              <w:right w:w="160" w:type="dxa"/>
            </w:tcMar>
          </w:tcPr>
          <w:p>
            <w:pPr>
              <w:jc w:val="left"/>
            </w:pPr>
            <w:r>
              <w:rPr>
                <w:rFonts w:ascii="Arial" w:hAnsi="Arial"/>
                <w:b/>
                <w:color w:val="FFFFFF"/>
                <w:sz w:val="19"/>
              </w:rPr>
              <w:t>Daily Rate (ex-GST)</w:t>
            </w:r>
          </w:p>
        </w:tc>
        <w:tc>
          <w:tcPr>
            <w:tcW w:type="dxa" w:w="2016"/>
            <w:shd w:fill="050D1A"/>
            <w:tcMar>
              <w:top w:w="140" w:type="dxa"/>
              <w:bottom w:w="140" w:type="dxa"/>
              <w:left w:w="160" w:type="dxa"/>
              <w:right w:w="160" w:type="dxa"/>
            </w:tcMar>
          </w:tcPr>
          <w:p>
            <w:pPr>
              <w:jc w:val="left"/>
            </w:pPr>
            <w:r>
              <w:rPr>
                <w:rFonts w:ascii="Arial" w:hAnsi="Arial"/>
                <w:b/>
                <w:color w:val="FFFFFF"/>
                <w:sz w:val="19"/>
              </w:rPr>
              <w:t>Total Price (ex-GST)</w:t>
            </w:r>
          </w:p>
        </w:tc>
      </w:tr>
      <w:tr>
        <w:tc>
          <w:tcPr>
            <w:tcW w:type="dxa" w:w="4032"/>
            <w:shd w:fill="FFFFFF"/>
            <w:tcMar>
              <w:top w:w="100" w:type="dxa"/>
              <w:bottom w:w="100" w:type="dxa"/>
              <w:left w:w="140" w:type="dxa"/>
              <w:right w:w="140" w:type="dxa"/>
            </w:tcMar>
          </w:tcPr>
          <w:p>
            <w:r>
              <w:rPr>
                <w:rFonts w:ascii="Arial" w:hAnsi="Arial"/>
                <w:color w:val="1E2832"/>
                <w:sz w:val="18"/>
              </w:rPr>
              <w:t>Essential Eight Technical Configuration Audit</w:t>
            </w:r>
          </w:p>
        </w:tc>
        <w:tc>
          <w:tcPr>
            <w:tcW w:type="dxa" w:w="1440"/>
            <w:shd w:fill="FFFFFF"/>
            <w:tcMar>
              <w:top w:w="100" w:type="dxa"/>
              <w:bottom w:w="100" w:type="dxa"/>
              <w:left w:w="140" w:type="dxa"/>
              <w:right w:w="140" w:type="dxa"/>
            </w:tcMar>
          </w:tcPr>
          <w:p>
            <w:r>
              <w:rPr>
                <w:rFonts w:ascii="Arial" w:hAnsi="Arial"/>
                <w:color w:val="1E2832"/>
                <w:sz w:val="18"/>
              </w:rPr>
              <w:t>3 Days</w:t>
            </w:r>
          </w:p>
        </w:tc>
        <w:tc>
          <w:tcPr>
            <w:tcW w:type="dxa" w:w="1872"/>
            <w:shd w:fill="FFFFFF"/>
            <w:tcMar>
              <w:top w:w="100" w:type="dxa"/>
              <w:bottom w:w="100" w:type="dxa"/>
              <w:left w:w="140" w:type="dxa"/>
              <w:right w:w="140" w:type="dxa"/>
            </w:tcMar>
          </w:tcPr>
          <w:p>
            <w:r>
              <w:rPr>
                <w:rFonts w:ascii="Arial" w:hAnsi="Arial"/>
                <w:color w:val="1E2832"/>
                <w:sz w:val="18"/>
              </w:rPr>
              <w:t>$1,600</w:t>
            </w:r>
          </w:p>
        </w:tc>
        <w:tc>
          <w:tcPr>
            <w:tcW w:type="dxa" w:w="2016"/>
            <w:shd w:fill="FFFFFF"/>
            <w:tcMar>
              <w:top w:w="100" w:type="dxa"/>
              <w:bottom w:w="100" w:type="dxa"/>
              <w:left w:w="140" w:type="dxa"/>
              <w:right w:w="140" w:type="dxa"/>
            </w:tcMar>
          </w:tcPr>
          <w:p>
            <w:r>
              <w:rPr>
                <w:rFonts w:ascii="Arial" w:hAnsi="Arial"/>
                <w:color w:val="1E2832"/>
                <w:sz w:val="18"/>
              </w:rPr>
              <w:t>$4,800</w:t>
            </w:r>
          </w:p>
        </w:tc>
      </w:tr>
      <w:tr>
        <w:tc>
          <w:tcPr>
            <w:tcW w:type="dxa" w:w="4032"/>
            <w:shd w:fill="F0F4F8"/>
            <w:tcMar>
              <w:top w:w="100" w:type="dxa"/>
              <w:bottom w:w="100" w:type="dxa"/>
              <w:left w:w="140" w:type="dxa"/>
              <w:right w:w="140" w:type="dxa"/>
            </w:tcMar>
          </w:tcPr>
          <w:p>
            <w:r>
              <w:rPr>
                <w:rFonts w:ascii="Arial" w:hAnsi="Arial"/>
                <w:color w:val="1E2832"/>
                <w:sz w:val="18"/>
              </w:rPr>
              <w:t>Policy, Governance &amp; Compliance Alignment</w:t>
            </w:r>
          </w:p>
        </w:tc>
        <w:tc>
          <w:tcPr>
            <w:tcW w:type="dxa" w:w="1440"/>
            <w:shd w:fill="F0F4F8"/>
            <w:tcMar>
              <w:top w:w="100" w:type="dxa"/>
              <w:bottom w:w="100" w:type="dxa"/>
              <w:left w:w="140" w:type="dxa"/>
              <w:right w:w="140" w:type="dxa"/>
            </w:tcMar>
          </w:tcPr>
          <w:p>
            <w:r>
              <w:rPr>
                <w:rFonts w:ascii="Arial" w:hAnsi="Arial"/>
                <w:color w:val="1E2832"/>
                <w:sz w:val="18"/>
              </w:rPr>
              <w:t>2 Days</w:t>
            </w:r>
          </w:p>
        </w:tc>
        <w:tc>
          <w:tcPr>
            <w:tcW w:type="dxa" w:w="1872"/>
            <w:shd w:fill="F0F4F8"/>
            <w:tcMar>
              <w:top w:w="100" w:type="dxa"/>
              <w:bottom w:w="100" w:type="dxa"/>
              <w:left w:w="140" w:type="dxa"/>
              <w:right w:w="140" w:type="dxa"/>
            </w:tcMar>
          </w:tcPr>
          <w:p>
            <w:r>
              <w:rPr>
                <w:rFonts w:ascii="Arial" w:hAnsi="Arial"/>
                <w:color w:val="1E2832"/>
                <w:sz w:val="18"/>
              </w:rPr>
              <w:t>$1,600</w:t>
            </w:r>
          </w:p>
        </w:tc>
        <w:tc>
          <w:tcPr>
            <w:tcW w:type="dxa" w:w="2016"/>
            <w:shd w:fill="F0F4F8"/>
            <w:tcMar>
              <w:top w:w="100" w:type="dxa"/>
              <w:bottom w:w="100" w:type="dxa"/>
              <w:left w:w="140" w:type="dxa"/>
              <w:right w:w="140" w:type="dxa"/>
            </w:tcMar>
          </w:tcPr>
          <w:p>
            <w:r>
              <w:rPr>
                <w:rFonts w:ascii="Arial" w:hAnsi="Arial"/>
                <w:color w:val="1E2832"/>
                <w:sz w:val="18"/>
              </w:rPr>
              <w:t>$3,200</w:t>
            </w:r>
          </w:p>
        </w:tc>
      </w:tr>
      <w:tr>
        <w:tc>
          <w:tcPr>
            <w:tcW w:type="dxa" w:w="4032"/>
            <w:shd w:fill="FFFFFF"/>
            <w:tcMar>
              <w:top w:w="100" w:type="dxa"/>
              <w:bottom w:w="100" w:type="dxa"/>
              <w:left w:w="140" w:type="dxa"/>
              <w:right w:w="140" w:type="dxa"/>
            </w:tcMar>
          </w:tcPr>
          <w:p>
            <w:r>
              <w:rPr>
                <w:rFonts w:ascii="Arial" w:hAnsi="Arial"/>
                <w:color w:val="1E2832"/>
                <w:sz w:val="18"/>
              </w:rPr>
              <w:t>Maturity Report &amp; Executive Roadmap Compilation</w:t>
            </w:r>
          </w:p>
        </w:tc>
        <w:tc>
          <w:tcPr>
            <w:tcW w:type="dxa" w:w="1440"/>
            <w:shd w:fill="FFFFFF"/>
            <w:tcMar>
              <w:top w:w="100" w:type="dxa"/>
              <w:bottom w:w="100" w:type="dxa"/>
              <w:left w:w="140" w:type="dxa"/>
              <w:right w:w="140" w:type="dxa"/>
            </w:tcMar>
          </w:tcPr>
          <w:p>
            <w:r>
              <w:rPr>
                <w:rFonts w:ascii="Arial" w:hAnsi="Arial"/>
                <w:color w:val="1E2832"/>
                <w:sz w:val="18"/>
              </w:rPr>
              <w:t>1 Day</w:t>
            </w:r>
          </w:p>
        </w:tc>
        <w:tc>
          <w:tcPr>
            <w:tcW w:type="dxa" w:w="1872"/>
            <w:shd w:fill="FFFFFF"/>
            <w:tcMar>
              <w:top w:w="100" w:type="dxa"/>
              <w:bottom w:w="100" w:type="dxa"/>
              <w:left w:w="140" w:type="dxa"/>
              <w:right w:w="140" w:type="dxa"/>
            </w:tcMar>
          </w:tcPr>
          <w:p>
            <w:r>
              <w:rPr>
                <w:rFonts w:ascii="Arial" w:hAnsi="Arial"/>
                <w:color w:val="1E2832"/>
                <w:sz w:val="18"/>
              </w:rPr>
              <w:t>$1,600</w:t>
            </w:r>
          </w:p>
        </w:tc>
        <w:tc>
          <w:tcPr>
            <w:tcW w:type="dxa" w:w="2016"/>
            <w:shd w:fill="FFFFFF"/>
            <w:tcMar>
              <w:top w:w="100" w:type="dxa"/>
              <w:bottom w:w="100" w:type="dxa"/>
              <w:left w:w="140" w:type="dxa"/>
              <w:right w:w="140" w:type="dxa"/>
            </w:tcMar>
          </w:tcPr>
          <w:p>
            <w:r>
              <w:rPr>
                <w:rFonts w:ascii="Arial" w:hAnsi="Arial"/>
                <w:color w:val="1E2832"/>
                <w:sz w:val="18"/>
              </w:rPr>
              <w:t>$1,600</w:t>
            </w:r>
          </w:p>
        </w:tc>
      </w:tr>
      <w:tr>
        <w:tc>
          <w:tcPr>
            <w:tcW w:type="dxa" w:w="4032"/>
            <w:shd w:fill="F0F4F8"/>
            <w:tcMar>
              <w:top w:w="100" w:type="dxa"/>
              <w:bottom w:w="100" w:type="dxa"/>
              <w:left w:w="140" w:type="dxa"/>
              <w:right w:w="140" w:type="dxa"/>
            </w:tcMar>
          </w:tcPr>
          <w:p>
            <w:r>
              <w:rPr>
                <w:rFonts w:ascii="Arial" w:hAnsi="Arial"/>
                <w:color w:val="1E2832"/>
                <w:sz w:val="18"/>
              </w:rPr>
              <w:t>TOTAL INVESTMENT</w:t>
            </w:r>
          </w:p>
        </w:tc>
        <w:tc>
          <w:tcPr>
            <w:tcW w:type="dxa" w:w="1440"/>
            <w:shd w:fill="F0F4F8"/>
            <w:tcMar>
              <w:top w:w="100" w:type="dxa"/>
              <w:bottom w:w="100" w:type="dxa"/>
              <w:left w:w="140" w:type="dxa"/>
              <w:right w:w="140" w:type="dxa"/>
            </w:tcMar>
          </w:tcPr>
          <w:p>
            <w:r>
              <w:rPr>
                <w:rFonts w:ascii="Arial" w:hAnsi="Arial"/>
                <w:color w:val="1E2832"/>
                <w:sz w:val="18"/>
              </w:rPr>
              <w:t>6 Days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$9,600 AUD</w:t>
            </w:r>
          </w:p>
        </w:tc>
      </w:tr>
      <w:tr>
        <w:tc>
          <w:tcPr>
            <w:tcW w:type="dxa" w:w="4032"/>
            <w:shd w:fill="FFFFFF"/>
            <w:tcMar>
              <w:top w:w="100" w:type="dxa"/>
              <w:bottom w:w="100" w:type="dxa"/>
              <w:left w:w="140" w:type="dxa"/>
              <w:right w:w="140" w:type="dxa"/>
            </w:tcMar>
          </w:tcPr>
          <w:p>
            <w:r>
              <w:rPr>
                <w:rFonts w:ascii="Arial" w:hAnsi="Arial"/>
                <w:color w:val="1E2832"/>
                <w:sz w:val="18"/>
              </w:rPr>
              <w:t>GST (10%)</w:t>
            </w:r>
          </w:p>
        </w:tc>
        <w:tc>
          <w:tcPr>
            <w:tcW w:type="dxa" w:w="1440"/>
            <w:shd w:fill="FFFFFF"/>
            <w:tcMar>
              <w:top w:w="100" w:type="dxa"/>
              <w:bottom w:w="100" w:type="dxa"/>
              <w:left w:w="140" w:type="dxa"/>
              <w:right w:w="140" w:type="dxa"/>
            </w:tcMar>
          </w:tcPr>
          <w:p>
            <w:r>
              <w:rPr>
                <w:rFonts w:ascii="Arial" w:hAnsi="Arial"/>
                <w:color w:val="1E2832"/>
                <w:sz w:val="18"/>
              </w:rPr>
              <w:t>-</w:t>
            </w:r>
          </w:p>
        </w:tc>
        <w:tc>
          <w:tcPr>
            <w:tcW w:type="dxa" w:w="1872"/>
            <w:shd w:fill="FFFFFF"/>
            <w:tcMar>
              <w:top w:w="100" w:type="dxa"/>
              <w:bottom w:w="100" w:type="dxa"/>
              <w:left w:w="140" w:type="dxa"/>
              <w:right w:w="140" w:type="dxa"/>
            </w:tcMar>
          </w:tcPr>
          <w:p>
            <w:r>
              <w:rPr>
                <w:rFonts w:ascii="Arial" w:hAnsi="Arial"/>
                <w:color w:val="1E2832"/>
                <w:sz w:val="18"/>
              </w:rPr>
              <w:t>-</w:t>
            </w:r>
          </w:p>
        </w:tc>
        <w:tc>
          <w:tcPr>
            <w:tcW w:type="dxa" w:w="2016"/>
            <w:shd w:fill="FFFFFF"/>
            <w:tcMar>
              <w:top w:w="100" w:type="dxa"/>
              <w:bottom w:w="100" w:type="dxa"/>
              <w:left w:w="140" w:type="dxa"/>
              <w:right w:w="140" w:type="dxa"/>
            </w:tcMar>
          </w:tcPr>
          <w:p>
            <w:r>
              <w:rPr>
                <w:rFonts w:ascii="Arial" w:hAnsi="Arial"/>
                <w:color w:val="1E2832"/>
                <w:sz w:val="18"/>
              </w:rPr>
              <w:t>$960 AUD</w:t>
            </w:r>
          </w:p>
        </w:tc>
      </w:tr>
      <w:tr>
        <w:tc>
          <w:tcPr>
            <w:tcW w:type="dxa" w:w="4032"/>
            <w:shd w:fill="F0F4F8"/>
            <w:tcMar>
              <w:top w:w="100" w:type="dxa"/>
              <w:bottom w:w="100" w:type="dxa"/>
              <w:left w:w="140" w:type="dxa"/>
              <w:right w:w="140" w:type="dxa"/>
            </w:tcMar>
          </w:tcPr>
          <w:p>
            <w:r>
              <w:rPr>
                <w:rFonts w:ascii="Arial" w:hAnsi="Arial"/>
                <w:color w:val="1E2832"/>
                <w:sz w:val="18"/>
              </w:rPr>
              <w:t>TOTAL INCLUDING GST</w:t>
            </w:r>
          </w:p>
        </w:tc>
        <w:tc>
          <w:tcPr>
            <w:tcW w:type="dxa" w:w="1440"/>
            <w:shd w:fill="F0F4F8"/>
            <w:tcMar>
              <w:top w:w="100" w:type="dxa"/>
              <w:bottom w:w="100" w:type="dxa"/>
              <w:left w:w="140" w:type="dxa"/>
              <w:right w:w="140" w:type="dxa"/>
            </w:tcMar>
          </w:tcPr>
          <w:p>
            <w:r>
              <w:rPr>
                <w:rFonts w:ascii="Arial" w:hAnsi="Arial"/>
                <w:color w:val="1E2832"/>
                <w:sz w:val="18"/>
              </w:rPr>
              <w:t>6 Days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$10,560 AUD</w:t>
            </w:r>
          </w:p>
        </w:tc>
      </w:tr>
    </w:tbl>
    <w:p/>
    <w:p>
      <w:pPr>
        <w:pStyle w:val="Heading1"/>
        <w:spacing w:before="320" w:after="160"/>
      </w:pPr>
      <w:r>
        <w:rPr>
          <w:rFonts w:ascii="Arial" w:hAnsi="Arial"/>
          <w:b/>
          <w:color w:val="050D1A"/>
          <w:sz w:val="32"/>
        </w:rPr>
        <w:t>7. Key Personnel &amp; Founder Profile</w:t>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40" w:type="dxa"/>
              <w:right w:w="140" w:type="dxa"/>
            </w:tcMar>
          </w:tcPr>
          <w:p>
            <w:r>
              <w:rPr>
                <w:b/>
                <w:color w:val="00F5FF"/>
                <w:sz w:val="23"/>
              </w:rPr>
              <w:t>MO QASIM</w:t>
              <w:br/>
            </w:r>
            <w:r>
              <w:rPr>
                <w:color w:val="DCE6F0"/>
                <w:sz w:val="18"/>
              </w:rPr>
              <w:t>Founder &amp; Principal Consultant</w:t>
              <w:br/>
              <w:t>Senior Cyber Security Specialist</w:t>
              <w:br/>
              <w:br/>
            </w:r>
            <w:r>
              <w:rPr>
                <w:color w:val="B4C8DC"/>
                <w:sz w:val="17"/>
              </w:rPr>
              <w:t>CLEARANCE:</w:t>
              <w:br/>
              <w:t>NV2 (Negative Vetting 2)</w:t>
              <w:br/>
              <w:br/>
              <w:t>EDUCATION:</w:t>
              <w:br/>
              <w:t>Masters in Cyber Security Engineering (UNSW)</w:t>
              <w:br/>
              <w:br/>
              <w:t>LOCATION:</w:t>
              <w:br/>
              <w:t>Sydney, NSW</w:t>
              <w:br/>
              <w:br/>
              <w:t>CONTACT:</w:t>
              <w:br/>
              <w:t>mo@forcefortitude.com</w:t>
            </w:r>
          </w:p>
        </w:tc>
        <w:tc>
          <w:tcPr>
            <w:tcW w:type="dxa" w:w="6192"/>
            <w:shd w:fill="F8FAFC"/>
            <w:tcMar>
              <w:top w:w="140" w:type="dxa"/>
              <w:bottom w:w="140" w:type="dxa"/>
              <w:left w:w="160" w:type="dxa"/>
              <w:right w:w="160" w:type="dxa"/>
            </w:tcMar>
          </w:tcPr>
          <w:p>
            <w:r>
              <w:rPr>
                <w:b/>
                <w:color w:val="050D1A"/>
                <w:sz w:val="20"/>
              </w:rPr>
              <w:t>Professional Summary &amp; Defence Pedigree:</w:t>
              <w:br/>
            </w:r>
          </w:p>
          <w:p>
            <w:pPr>
              <w:spacing w:before="80"/>
            </w:pPr>
            <w:r>
              <w:rPr>
                <w:color w:val="28323C"/>
                <w:sz w:val="17"/>
              </w:rPr>
              <w:t>Mo Qasim is a Cyber Governance and Penetration Testing Specialist holding an active NV2 Security Clearance with over a decade of experience across the Australian Defence Force (Air Force / RAAF), government entities, healthcare, and enterprise networks.</w:t>
              <w:br/>
              <w:br/>
              <w:t>Former Systems &amp; Cyberspace Security Integration Analyst for domestic and international Defence operations across Protected and Secret domains. Experienced in conducting internal, external, web application, API, mobile (iOS/Android) penetration testing, and digital forensics scrutiny.</w:t>
              <w:br/>
              <w:br/>
              <w:t>Certifications &amp; ADF Training:</w:t>
              <w:br/>
              <w:t>• Information Technology Security Officers Course (Defence Force Cyber College 2024)</w:t>
              <w:br/>
              <w:t>• ISMS Lead Auditor (Defence Force Cyber College 2024)</w:t>
              <w:br/>
              <w:t>• Joint Vulnerability Assessment Analyst (Defence Force Cyber College 2023)</w:t>
              <w:br/>
              <w:t>• Essential Eight Assessment Specialist (TAFE NSW 2023)</w:t>
              <w:br/>
              <w:t>• CCNA 1, 2 &amp; 3 Scaling Networks | MOC Virtualization &amp; Cloud Security</w:t>
              <w:br/>
              <w:br/>
              <w:t>Recognised Bug Bounty &amp; Vulnerability Disclosure Researcher:</w:t>
              <w:br/>
              <w:t>• Attorney-General's Department</w:t>
              <w:br/>
              <w:t>• Australia Post</w:t>
              <w:br/>
              <w:t>• Western Australia Department of Education &amp; WA Office of Digital Government</w:t>
              <w:br/>
              <w:t>• Australian Department of Health &amp; Australian Institute of Health &amp; Welfare</w:t>
              <w:br/>
              <w:br/>
              <w:t>Honours &amp; Medals:</w:t>
              <w:br/>
              <w:t>• Australian Defence Medal</w:t>
              <w:br/>
              <w:t>• Australian Operational Service Medal (Greater Middle East Operation)</w:t>
              <w:br/>
              <w:t>• Operational Service Badge (Military) | Air Force Appreciation Medal</w:t>
            </w:r>
          </w:p>
        </w:tc>
      </w:tr>
    </w:tbl>
    <w:p/>
    <w:p>
      <w:pPr>
        <w:pStyle w:val="Heading1"/>
        <w:spacing w:before="320" w:after="160"/>
      </w:pPr>
      <w:r>
        <w:rPr>
          <w:rFonts w:ascii="Arial" w:hAnsi="Arial"/>
          <w:b/>
          <w:color w:val="050D1A"/>
          <w:sz w:val="32"/>
        </w:rPr>
        <w:t>8. Terms &amp; Conditions</w:t>
      </w:r>
    </w:p>
    <w:p>
      <w:pPr>
        <w:pStyle w:val="Heading3"/>
        <w:spacing w:before="200" w:after="80"/>
      </w:pPr>
      <w:r>
        <w:rPr>
          <w:rFonts w:ascii="Arial" w:hAnsi="Arial"/>
          <w:b/>
          <w:color w:val="283246"/>
          <w:sz w:val="22"/>
        </w:rPr>
        <w:t>1. Definitions &amp; Interpretation</w:t>
      </w:r>
    </w:p>
    <w:p>
      <w:pPr>
        <w:spacing w:after="60"/>
      </w:pPr>
      <w:r>
        <w:rPr>
          <w:rFonts w:ascii="Arial" w:hAnsi="Arial"/>
          <w:color w:val="323C46"/>
          <w:sz w:val="17"/>
        </w:rPr>
        <w:t>In this agreement, 'Force Fortitude' means Force Fortitude Pty Ltd (ABN 42 691 602 276). 'Customer' means the entity listed in the Document Control schedule. 'Services' means the cybersecurity consulting and testing services described herein.</w:t>
      </w:r>
    </w:p>
    <w:p>
      <w:pPr>
        <w:pStyle w:val="Heading3"/>
        <w:spacing w:before="200" w:after="80"/>
      </w:pPr>
      <w:r>
        <w:rPr>
          <w:rFonts w:ascii="Arial" w:hAnsi="Arial"/>
          <w:b/>
          <w:color w:val="283246"/>
          <w:sz w:val="22"/>
        </w:rPr>
        <w:t>2. Engagement &amp; Scope</w:t>
      </w:r>
    </w:p>
    <w:p>
      <w:pPr>
        <w:spacing w:after="60"/>
      </w:pPr>
      <w:r>
        <w:rPr>
          <w:rFonts w:ascii="Arial" w:hAnsi="Arial"/>
          <w:color w:val="323C46"/>
          <w:sz w:val="17"/>
        </w:rPr>
        <w:t>Force Fortitude agrees to perform the Services in a professional, timely, and workmanlike manner using qualified security personnel holding relevant industry certifications and security clearances.</w:t>
      </w:r>
    </w:p>
    <w:p>
      <w:pPr>
        <w:pStyle w:val="Heading3"/>
        <w:spacing w:before="200" w:after="80"/>
      </w:pPr>
      <w:r>
        <w:rPr>
          <w:rFonts w:ascii="Arial" w:hAnsi="Arial"/>
          <w:b/>
          <w:color w:val="283246"/>
          <w:sz w:val="22"/>
        </w:rPr>
        <w:t>3. Client Authorization &amp; Access</w:t>
      </w:r>
    </w:p>
    <w:p>
      <w:pPr>
        <w:spacing w:after="60"/>
      </w:pPr>
      <w:r>
        <w:rPr>
          <w:rFonts w:ascii="Arial" w:hAnsi="Arial"/>
          <w:color w:val="323C46"/>
          <w:sz w:val="17"/>
        </w:rPr>
        <w:t>The Customer warrants that it has full legal authority to authorize Force Fortitude to conduct security testing, vulnerability scanning, and evidence analysis on the designated systems and scope listed in Section 3.</w:t>
      </w:r>
    </w:p>
    <w:p>
      <w:pPr>
        <w:pStyle w:val="Heading3"/>
        <w:spacing w:before="200" w:after="80"/>
      </w:pPr>
      <w:r>
        <w:rPr>
          <w:rFonts w:ascii="Arial" w:hAnsi="Arial"/>
          <w:b/>
          <w:color w:val="283246"/>
          <w:sz w:val="22"/>
        </w:rPr>
        <w:t>4. Confidentiality &amp; Non-Disclosure</w:t>
      </w:r>
    </w:p>
    <w:p>
      <w:pPr>
        <w:spacing w:after="60"/>
      </w:pPr>
      <w:r>
        <w:rPr>
          <w:rFonts w:ascii="Arial" w:hAnsi="Arial"/>
          <w:color w:val="323C46"/>
          <w:sz w:val="17"/>
        </w:rPr>
        <w:t>All information, data, findings, and reports generated during the engagement shall remain strictly confidential. Force Fortitude stores all test data in hardware-encrypted, Australian-sovereign environments complying with the Privacy Act 1988 (Cth).</w:t>
      </w:r>
    </w:p>
    <w:p>
      <w:pPr>
        <w:pStyle w:val="Heading3"/>
        <w:spacing w:before="200" w:after="80"/>
      </w:pPr>
      <w:r>
        <w:rPr>
          <w:rFonts w:ascii="Arial" w:hAnsi="Arial"/>
          <w:b/>
          <w:color w:val="283246"/>
          <w:sz w:val="22"/>
        </w:rPr>
        <w:t>5. Deliverables &amp; Acceptance</w:t>
      </w:r>
    </w:p>
    <w:p>
      <w:pPr>
        <w:spacing w:after="60"/>
      </w:pPr>
      <w:r>
        <w:rPr>
          <w:rFonts w:ascii="Arial" w:hAnsi="Arial"/>
          <w:color w:val="323C46"/>
          <w:sz w:val="17"/>
        </w:rPr>
        <w:t>Force Fortitude will issue draft executive and technical findings reports upon completion. The Customer has fourteen (14) business days to provide review feedback prior to final report issuance.</w:t>
      </w:r>
    </w:p>
    <w:p>
      <w:pPr>
        <w:pStyle w:val="Heading3"/>
        <w:spacing w:before="200" w:after="80"/>
      </w:pPr>
      <w:r>
        <w:rPr>
          <w:rFonts w:ascii="Arial" w:hAnsi="Arial"/>
          <w:b/>
          <w:color w:val="283246"/>
          <w:sz w:val="22"/>
        </w:rPr>
        <w:t>6. Fees, Pricing &amp; Payment</w:t>
      </w:r>
    </w:p>
    <w:p>
      <w:pPr>
        <w:spacing w:after="60"/>
      </w:pPr>
      <w:r>
        <w:rPr>
          <w:rFonts w:ascii="Arial" w:hAnsi="Arial"/>
          <w:color w:val="323C46"/>
          <w:sz w:val="17"/>
        </w:rPr>
        <w:t>Fees are quoted in Australian Dollars ($ AUD) exclusive of GST. Invoices are payable within fourteen (14) business days of draft report issuance. Out-of-hours testing requested by the Customer will incur standard weekend/holiday loadings.</w:t>
      </w:r>
    </w:p>
    <w:p>
      <w:pPr>
        <w:pStyle w:val="Heading3"/>
        <w:spacing w:before="200" w:after="80"/>
      </w:pPr>
      <w:r>
        <w:rPr>
          <w:rFonts w:ascii="Arial" w:hAnsi="Arial"/>
          <w:b/>
          <w:color w:val="283246"/>
          <w:sz w:val="22"/>
        </w:rPr>
        <w:t>7. Intellectual Property</w:t>
      </w:r>
    </w:p>
    <w:p>
      <w:pPr>
        <w:spacing w:after="60"/>
      </w:pPr>
      <w:r>
        <w:rPr>
          <w:rFonts w:ascii="Arial" w:hAnsi="Arial"/>
          <w:color w:val="323C46"/>
          <w:sz w:val="17"/>
        </w:rPr>
        <w:t>The Customer retains ownership of all proprietary data. Force Fortitude grants a perpetual, non-exclusive, royalty-free license to the Customer to use all final reports and remediation guidance.</w:t>
      </w:r>
    </w:p>
    <w:p>
      <w:pPr>
        <w:pStyle w:val="Heading3"/>
        <w:spacing w:before="200" w:after="80"/>
      </w:pPr>
      <w:r>
        <w:rPr>
          <w:rFonts w:ascii="Arial" w:hAnsi="Arial"/>
          <w:b/>
          <w:color w:val="283246"/>
          <w:sz w:val="22"/>
        </w:rPr>
        <w:t>8. Limitation of Liability</w:t>
      </w:r>
    </w:p>
    <w:p>
      <w:pPr>
        <w:spacing w:after="60"/>
      </w:pPr>
      <w:r>
        <w:rPr>
          <w:rFonts w:ascii="Arial" w:hAnsi="Arial"/>
          <w:color w:val="323C46"/>
          <w:sz w:val="17"/>
        </w:rPr>
        <w:t>To the maximum extent permitted under New South Wales law, Force Fortitude's aggregate liability under this agreement shall be limited to the total fees paid by the Customer for the specific engagement.</w:t>
      </w:r>
    </w:p>
    <w:p>
      <w:pPr>
        <w:pStyle w:val="Heading3"/>
        <w:spacing w:before="200" w:after="80"/>
      </w:pPr>
      <w:r>
        <w:rPr>
          <w:rFonts w:ascii="Arial" w:hAnsi="Arial"/>
          <w:b/>
          <w:color w:val="283246"/>
          <w:sz w:val="22"/>
        </w:rPr>
        <w:t>9. Governing Law</w:t>
      </w:r>
    </w:p>
    <w:p>
      <w:pPr>
        <w:spacing w:after="60"/>
      </w:pPr>
      <w:r>
        <w:rPr>
          <w:rFonts w:ascii="Arial" w:hAnsi="Arial"/>
          <w:color w:val="323C46"/>
          <w:sz w:val="17"/>
        </w:rPr>
        <w:t>This proposal and resulting contract shall be governed by and construed in accordance with the laws of the State of New South Wales, Australia.</w:t>
      </w:r>
    </w:p>
    <w:p>
      <w:pPr>
        <w:pStyle w:val="Heading1"/>
        <w:spacing w:before="320" w:after="160"/>
      </w:pPr>
      <w:r>
        <w:rPr>
          <w:rFonts w:ascii="Arial" w:hAnsi="Arial"/>
          <w:b/>
          <w:color w:val="050D1A"/>
          <w:sz w:val="32"/>
        </w:rPr>
        <w:t>9. Agreement of Work</w:t>
      </w:r>
    </w:p>
    <w:p>
      <w:r>
        <w:rPr>
          <w:rFonts w:ascii="Arial" w:hAnsi="Arial"/>
          <w:color w:val="28323C"/>
          <w:sz w:val="18"/>
        </w:rPr>
        <w:t>Force Fortitude Pty Ltd requests that [Client Organisation Name] indicates formal acceptance and agreement with the proposal of work to be undertaken by signing and returning this document below.</w:t>
        <w:br/>
        <w:br/>
        <w:t>Upon receipt of the signed agreement and purchase order, Force Fortitude will schedule the project commencement meeting.</w:t>
      </w:r>
    </w:p>
    <w:tbl>
      <w:tblPr>
        <w:tblW w:type="auto" w:w="0"/>
        <w:jc w:val="center"/>
        <w:tblLook w:firstColumn="1" w:firstRow="1" w:lastColumn="0" w:lastRow="0" w:noHBand="0" w:noVBand="1" w:val="04A0"/>
      </w:tblPr>
      <w:tblGrid>
        <w:gridCol w:w="4320"/>
        <w:gridCol w:w="4320"/>
      </w:tblGrid>
      <w:tr>
        <w:tc>
          <w:tcPr>
            <w:tcW w:type="dxa" w:w="3168"/>
            <w:shd w:fill="F0F4F8"/>
            <w:tcMar>
              <w:top w:w="70" w:type="dxa"/>
              <w:bottom w:w="70" w:type="dxa"/>
              <w:left w:w="100" w:type="dxa"/>
              <w:right w:w="100" w:type="dxa"/>
            </w:tcMar>
          </w:tcPr>
          <w:p>
            <w:r>
              <w:rPr>
                <w:b/>
                <w:sz w:val="17"/>
              </w:rPr>
              <w:t>Client Organisation:</w:t>
            </w:r>
          </w:p>
        </w:tc>
        <w:tc>
          <w:tcPr>
            <w:tcW w:type="dxa" w:w="6192"/>
            <w:shd w:fill="FFFFFF"/>
            <w:tcMar>
              <w:top w:w="70" w:type="dxa"/>
              <w:bottom w:w="70" w:type="dxa"/>
              <w:left w:w="100" w:type="dxa"/>
              <w:right w:w="100" w:type="dxa"/>
            </w:tcMar>
          </w:tcPr>
          <w:p>
            <w:r>
              <w:t>[Client Organisation Name]</w:t>
            </w:r>
          </w:p>
        </w:tc>
      </w:tr>
      <w:tr>
        <w:tc>
          <w:tcPr>
            <w:tcW w:type="dxa" w:w="3168"/>
            <w:shd w:fill="F0F4F8"/>
            <w:tcMar>
              <w:top w:w="70" w:type="dxa"/>
              <w:bottom w:w="70" w:type="dxa"/>
              <w:left w:w="100" w:type="dxa"/>
              <w:right w:w="100" w:type="dxa"/>
            </w:tcMar>
          </w:tcPr>
          <w:p>
            <w:r>
              <w:rPr>
                <w:b/>
                <w:sz w:val="17"/>
              </w:rPr>
              <w:t>Authorised Signature: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Printed Name: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Job Title / Role: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Date of Signature:</w:t>
            </w:r>
          </w:p>
        </w:tc>
        <w:tc>
          <w:tcPr>
            <w:tcW w:type="dxa" w:w="6192"/>
            <w:shd w:fill="FFFFFF"/>
            <w:tcMar>
              <w:top w:w="70" w:type="dxa"/>
              <w:bottom w:w="70" w:type="dxa"/>
              <w:left w:w="100" w:type="dxa"/>
              <w:right w:w="100" w:type="dxa"/>
            </w:tcMar>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8C"/>
        <w:sz w:val="17"/>
      </w:rPr>
      <w:t>Commercial in Confidence | Proposal ID: FF-PROP-ASD8-2026 | ABN: 42 691 602 276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Force Fortitude Pty Ltd | ASD Essential 8 &amp; Security Assessment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