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50D1A"/>
          <w:sz w:val="48"/>
        </w:rPr>
        <w:t>Proposal of Works</w:t>
        <w:br/>
        <w:t>Dark Web &amp; Credential Exposure Surveillance</w:t>
        <w:br/>
      </w:r>
      <w:r>
        <w:rPr>
          <w:color w:val="0066CC"/>
          <w:sz w:val="26"/>
        </w:rPr>
        <w:t>Continuous Domain Threat Intelligence &amp; Stolen Credential Monitoring</w:t>
        <w:br/>
        <w:br/>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60" w:type="dxa"/>
              <w:right w:w="160" w:type="dxa"/>
            </w:tcMar>
          </w:tcPr>
          <w:p>
            <w:pPr>
              <w:jc w:val="left"/>
            </w:pPr>
            <w:r>
              <w:rPr>
                <w:rFonts w:ascii="Arial" w:hAnsi="Arial"/>
                <w:b/>
                <w:color w:val="FFFFFF"/>
                <w:sz w:val="19"/>
              </w:rPr>
              <w:t>Document Control</w:t>
            </w:r>
          </w:p>
        </w:tc>
        <w:tc>
          <w:tcPr>
            <w:tcW w:type="dxa" w:w="6192"/>
            <w:shd w:fill="050D1A"/>
            <w:tcMar>
              <w:top w:w="140" w:type="dxa"/>
              <w:bottom w:w="140" w:type="dxa"/>
              <w:left w:w="160" w:type="dxa"/>
              <w:right w:w="160" w:type="dxa"/>
            </w:tcMar>
          </w:tcPr>
          <w:p>
            <w:pPr>
              <w:jc w:val="left"/>
            </w:pPr>
            <w:r>
              <w:rPr>
                <w:rFonts w:ascii="Arial" w:hAnsi="Arial"/>
                <w:b/>
                <w:color w:val="FFFFFF"/>
                <w:sz w:val="19"/>
              </w:rPr>
              <w:t>Details</w:t>
            </w:r>
          </w:p>
        </w:tc>
      </w:tr>
      <w:tr>
        <w:tc>
          <w:tcPr>
            <w:tcW w:type="dxa" w:w="3168"/>
            <w:shd w:fill="FFFFFF"/>
            <w:tcMar>
              <w:top w:w="100" w:type="dxa"/>
              <w:bottom w:w="100" w:type="dxa"/>
              <w:left w:w="140" w:type="dxa"/>
              <w:right w:w="140" w:type="dxa"/>
            </w:tcMar>
          </w:tcPr>
          <w:p>
            <w:r>
              <w:rPr>
                <w:rFonts w:ascii="Arial" w:hAnsi="Arial"/>
                <w:color w:val="1E2832"/>
                <w:sz w:val="18"/>
              </w:rPr>
              <w:t>Prepared For Client</w:t>
            </w:r>
          </w:p>
        </w:tc>
        <w:tc>
          <w:tcPr>
            <w:tcW w:type="dxa" w:w="6192"/>
            <w:shd w:fill="FFFFFF"/>
            <w:tcMar>
              <w:top w:w="100" w:type="dxa"/>
              <w:bottom w:w="100" w:type="dxa"/>
              <w:left w:w="140" w:type="dxa"/>
              <w:right w:w="140" w:type="dxa"/>
            </w:tcMar>
          </w:tcPr>
          <w:p>
            <w:r>
              <w:rPr>
                <w:rFonts w:ascii="Arial" w:hAnsi="Arial"/>
                <w:color w:val="1E2832"/>
                <w:sz w:val="18"/>
              </w:rPr>
              <w:t>[Client Organisation Name]</w:t>
            </w:r>
          </w:p>
        </w:tc>
      </w:tr>
      <w:tr>
        <w:tc>
          <w:tcPr>
            <w:tcW w:type="dxa" w:w="3168"/>
            <w:shd w:fill="F0F4F8"/>
            <w:tcMar>
              <w:top w:w="100" w:type="dxa"/>
              <w:bottom w:w="100" w:type="dxa"/>
              <w:left w:w="140" w:type="dxa"/>
              <w:right w:w="140" w:type="dxa"/>
            </w:tcMar>
          </w:tcPr>
          <w:p>
            <w:r>
              <w:rPr>
                <w:rFonts w:ascii="Arial" w:hAnsi="Arial"/>
                <w:color w:val="1E2832"/>
                <w:sz w:val="18"/>
              </w:rPr>
              <w:t>Prepared By</w:t>
            </w:r>
          </w:p>
        </w:tc>
        <w:tc>
          <w:tcPr>
            <w:tcW w:type="dxa" w:w="6192"/>
            <w:shd w:fill="F0F4F8"/>
            <w:tcMar>
              <w:top w:w="100" w:type="dxa"/>
              <w:bottom w:w="100" w:type="dxa"/>
              <w:left w:w="140" w:type="dxa"/>
              <w:right w:w="140" w:type="dxa"/>
            </w:tcMar>
          </w:tcPr>
          <w:p>
            <w:r>
              <w:rPr>
                <w:rFonts w:ascii="Arial" w:hAnsi="Arial"/>
                <w:color w:val="1E2832"/>
                <w:sz w:val="18"/>
              </w:rPr>
              <w:t>Force Fortitude Pty Ltd (ABN: 42 691 602 276)</w:t>
            </w:r>
          </w:p>
        </w:tc>
      </w:tr>
      <w:tr>
        <w:tc>
          <w:tcPr>
            <w:tcW w:type="dxa" w:w="3168"/>
            <w:shd w:fill="FFFFFF"/>
            <w:tcMar>
              <w:top w:w="100" w:type="dxa"/>
              <w:bottom w:w="100" w:type="dxa"/>
              <w:left w:w="140" w:type="dxa"/>
              <w:right w:w="140" w:type="dxa"/>
            </w:tcMar>
          </w:tcPr>
          <w:p>
            <w:r>
              <w:rPr>
                <w:rFonts w:ascii="Arial" w:hAnsi="Arial"/>
                <w:color w:val="1E2832"/>
                <w:sz w:val="18"/>
              </w:rPr>
              <w:t>Lead Specialist</w:t>
            </w:r>
          </w:p>
        </w:tc>
        <w:tc>
          <w:tcPr>
            <w:tcW w:type="dxa" w:w="6192"/>
            <w:shd w:fill="FFFFFF"/>
            <w:tcMar>
              <w:top w:w="100" w:type="dxa"/>
              <w:bottom w:w="100" w:type="dxa"/>
              <w:left w:w="140" w:type="dxa"/>
              <w:right w:w="140" w:type="dxa"/>
            </w:tcMar>
          </w:tcPr>
          <w:p>
            <w:r>
              <w:rPr>
                <w:rFonts w:ascii="Arial" w:hAnsi="Arial"/>
                <w:color w:val="1E2832"/>
                <w:sz w:val="18"/>
              </w:rPr>
              <w:t>Mo Qasim (Founder &amp; Principal Consultant, NV2)</w:t>
            </w:r>
          </w:p>
        </w:tc>
      </w:tr>
      <w:tr>
        <w:tc>
          <w:tcPr>
            <w:tcW w:type="dxa" w:w="3168"/>
            <w:shd w:fill="F0F4F8"/>
            <w:tcMar>
              <w:top w:w="100" w:type="dxa"/>
              <w:bottom w:w="100" w:type="dxa"/>
              <w:left w:w="140" w:type="dxa"/>
              <w:right w:w="140" w:type="dxa"/>
            </w:tcMar>
          </w:tcPr>
          <w:p>
            <w:r>
              <w:rPr>
                <w:rFonts w:ascii="Arial" w:hAnsi="Arial"/>
                <w:color w:val="1E2832"/>
                <w:sz w:val="18"/>
              </w:rPr>
              <w:t>Proposal Version</w:t>
            </w:r>
          </w:p>
        </w:tc>
        <w:tc>
          <w:tcPr>
            <w:tcW w:type="dxa" w:w="6192"/>
            <w:shd w:fill="F0F4F8"/>
            <w:tcMar>
              <w:top w:w="100" w:type="dxa"/>
              <w:bottom w:w="100" w:type="dxa"/>
              <w:left w:w="140" w:type="dxa"/>
              <w:right w:w="140" w:type="dxa"/>
            </w:tcMar>
          </w:tcPr>
          <w:p>
            <w:r>
              <w:rPr>
                <w:rFonts w:ascii="Arial" w:hAnsi="Arial"/>
                <w:color w:val="1E2832"/>
                <w:sz w:val="18"/>
              </w:rPr>
              <w:t>1.0 (Final)</w:t>
            </w:r>
          </w:p>
        </w:tc>
      </w:tr>
      <w:tr>
        <w:tc>
          <w:tcPr>
            <w:tcW w:type="dxa" w:w="3168"/>
            <w:shd w:fill="FFFFFF"/>
            <w:tcMar>
              <w:top w:w="100" w:type="dxa"/>
              <w:bottom w:w="100" w:type="dxa"/>
              <w:left w:w="140" w:type="dxa"/>
              <w:right w:w="140" w:type="dxa"/>
            </w:tcMar>
          </w:tcPr>
          <w:p>
            <w:r>
              <w:rPr>
                <w:rFonts w:ascii="Arial" w:hAnsi="Arial"/>
                <w:color w:val="1E2832"/>
                <w:sz w:val="18"/>
              </w:rPr>
              <w:t>Proposal ID</w:t>
            </w:r>
          </w:p>
        </w:tc>
        <w:tc>
          <w:tcPr>
            <w:tcW w:type="dxa" w:w="6192"/>
            <w:shd w:fill="FFFFFF"/>
            <w:tcMar>
              <w:top w:w="100" w:type="dxa"/>
              <w:bottom w:w="100" w:type="dxa"/>
              <w:left w:w="140" w:type="dxa"/>
              <w:right w:w="140" w:type="dxa"/>
            </w:tcMar>
          </w:tcPr>
          <w:p>
            <w:r>
              <w:rPr>
                <w:rFonts w:ascii="Arial" w:hAnsi="Arial"/>
                <w:color w:val="1E2832"/>
                <w:sz w:val="18"/>
              </w:rPr>
              <w:t>FF-PROP-DWMS-2026-04</w:t>
            </w:r>
          </w:p>
        </w:tc>
      </w:tr>
      <w:tr>
        <w:tc>
          <w:tcPr>
            <w:tcW w:type="dxa" w:w="3168"/>
            <w:shd w:fill="F0F4F8"/>
            <w:tcMar>
              <w:top w:w="100" w:type="dxa"/>
              <w:bottom w:w="100" w:type="dxa"/>
              <w:left w:w="140" w:type="dxa"/>
              <w:right w:w="140" w:type="dxa"/>
            </w:tcMar>
          </w:tcPr>
          <w:p>
            <w:r>
              <w:rPr>
                <w:rFonts w:ascii="Arial" w:hAnsi="Arial"/>
                <w:color w:val="1E2832"/>
                <w:sz w:val="18"/>
              </w:rPr>
              <w:t>Date Issued</w:t>
            </w:r>
          </w:p>
        </w:tc>
        <w:tc>
          <w:tcPr>
            <w:tcW w:type="dxa" w:w="6192"/>
            <w:shd w:fill="F0F4F8"/>
            <w:tcMar>
              <w:top w:w="100" w:type="dxa"/>
              <w:bottom w:w="100" w:type="dxa"/>
              <w:left w:w="140" w:type="dxa"/>
              <w:right w:w="140" w:type="dxa"/>
            </w:tcMar>
          </w:tcPr>
          <w:p>
            <w:r>
              <w:rPr>
                <w:rFonts w:ascii="Arial" w:hAnsi="Arial"/>
                <w:color w:val="1E2832"/>
                <w:sz w:val="18"/>
              </w:rPr>
              <w:t>August 2026</w:t>
            </w:r>
          </w:p>
        </w:tc>
      </w:tr>
      <w:tr>
        <w:tc>
          <w:tcPr>
            <w:tcW w:type="dxa" w:w="3168"/>
            <w:shd w:fill="FFFFFF"/>
            <w:tcMar>
              <w:top w:w="100" w:type="dxa"/>
              <w:bottom w:w="100" w:type="dxa"/>
              <w:left w:w="140" w:type="dxa"/>
              <w:right w:w="140" w:type="dxa"/>
            </w:tcMar>
          </w:tcPr>
          <w:p>
            <w:r>
              <w:rPr>
                <w:rFonts w:ascii="Arial" w:hAnsi="Arial"/>
                <w:color w:val="1E2832"/>
                <w:sz w:val="18"/>
              </w:rPr>
              <w:t>Validity</w:t>
            </w:r>
          </w:p>
        </w:tc>
        <w:tc>
          <w:tcPr>
            <w:tcW w:type="dxa" w:w="6192"/>
            <w:shd w:fill="FFFFFF"/>
            <w:tcMar>
              <w:top w:w="100" w:type="dxa"/>
              <w:bottom w:w="100" w:type="dxa"/>
              <w:left w:w="140" w:type="dxa"/>
              <w:right w:w="140" w:type="dxa"/>
            </w:tcMar>
          </w:tcPr>
          <w:p>
            <w:r>
              <w:rPr>
                <w:rFonts w:ascii="Arial" w:hAnsi="Arial"/>
                <w:color w:val="1E2832"/>
                <w:sz w:val="18"/>
              </w:rPr>
              <w:t>30 Days from Issue</w:t>
            </w:r>
          </w:p>
        </w:tc>
      </w:tr>
    </w:tbl>
    <w:p/>
    <w:p>
      <w:pPr>
        <w:pStyle w:val="Heading1"/>
        <w:spacing w:before="320" w:after="160"/>
      </w:pPr>
      <w:r>
        <w:rPr>
          <w:rFonts w:ascii="Arial" w:hAnsi="Arial"/>
          <w:b/>
          <w:color w:val="050D1A"/>
          <w:sz w:val="32"/>
        </w:rPr>
        <w:t>1. Executive Summary &amp; Objective</w:t>
      </w:r>
    </w:p>
    <w:p>
      <w:r>
        <w:rPr>
          <w:sz w:val="19"/>
        </w:rPr>
        <w:t>Force Fortitude Pty Ltd is pleased to present this Proposal of Works for 24/7 Dark Web Threat Intelligence &amp; Credential Exposure Surveillance. Stolen employee credentials and corporate data leaks on dark web marketplaces represent the primary vector for initial access in modern ransomware attacks.</w:t>
        <w:br/>
        <w:br/>
        <w:t>Our surveillance platform continuously monitors underground marketplaces, breach databases, hacker forums, and paste sites for your corporate domain and employee credentials.</w:t>
      </w:r>
    </w:p>
    <w:p>
      <w:pPr>
        <w:pStyle w:val="Heading1"/>
        <w:spacing w:before="320" w:after="160"/>
      </w:pPr>
      <w:r>
        <w:rPr>
          <w:rFonts w:ascii="Arial" w:hAnsi="Arial"/>
          <w:b/>
          <w:color w:val="050D1A"/>
          <w:sz w:val="32"/>
        </w:rPr>
        <w:t>2. Surveillance Scope &amp; Capabilities</w:t>
      </w:r>
    </w:p>
    <w:tbl>
      <w:tblPr>
        <w:tblW w:type="auto" w:w="0"/>
        <w:jc w:val="center"/>
        <w:tblLook w:firstColumn="1" w:firstRow="1" w:lastColumn="0" w:lastRow="0" w:noHBand="0" w:noVBand="1" w:val="04A0"/>
      </w:tblPr>
      <w:tblGrid>
        <w:gridCol w:w="2880"/>
        <w:gridCol w:w="2880"/>
        <w:gridCol w:w="2880"/>
      </w:tblGrid>
      <w:tr>
        <w:tc>
          <w:tcPr>
            <w:tcW w:type="dxa" w:w="2880"/>
            <w:shd w:fill="050D1A"/>
            <w:tcMar>
              <w:top w:w="140" w:type="dxa"/>
              <w:bottom w:w="140" w:type="dxa"/>
              <w:left w:w="160" w:type="dxa"/>
              <w:right w:w="160" w:type="dxa"/>
            </w:tcMar>
          </w:tcPr>
          <w:p>
            <w:pPr>
              <w:jc w:val="left"/>
            </w:pPr>
            <w:r>
              <w:rPr>
                <w:rFonts w:ascii="Arial" w:hAnsi="Arial"/>
                <w:b/>
                <w:color w:val="FFFFFF"/>
                <w:sz w:val="19"/>
              </w:rPr>
              <w:t>Surveillance Vector</w:t>
            </w:r>
          </w:p>
        </w:tc>
        <w:tc>
          <w:tcPr>
            <w:tcW w:type="dxa" w:w="2592"/>
            <w:shd w:fill="050D1A"/>
            <w:tcMar>
              <w:top w:w="140" w:type="dxa"/>
              <w:bottom w:w="140" w:type="dxa"/>
              <w:left w:w="160" w:type="dxa"/>
              <w:right w:w="160" w:type="dxa"/>
            </w:tcMar>
          </w:tcPr>
          <w:p>
            <w:pPr>
              <w:jc w:val="left"/>
            </w:pPr>
            <w:r>
              <w:rPr>
                <w:rFonts w:ascii="Arial" w:hAnsi="Arial"/>
                <w:b/>
                <w:color w:val="FFFFFF"/>
                <w:sz w:val="19"/>
              </w:rPr>
              <w:t>Monitoring Frequency</w:t>
            </w:r>
          </w:p>
        </w:tc>
        <w:tc>
          <w:tcPr>
            <w:tcW w:type="dxa" w:w="3888"/>
            <w:shd w:fill="050D1A"/>
            <w:tcMar>
              <w:top w:w="140" w:type="dxa"/>
              <w:bottom w:w="140" w:type="dxa"/>
              <w:left w:w="160" w:type="dxa"/>
              <w:right w:w="160" w:type="dxa"/>
            </w:tcMar>
          </w:tcPr>
          <w:p>
            <w:pPr>
              <w:jc w:val="left"/>
            </w:pPr>
            <w:r>
              <w:rPr>
                <w:rFonts w:ascii="Arial" w:hAnsi="Arial"/>
                <w:b/>
                <w:color w:val="FFFFFF"/>
                <w:sz w:val="19"/>
              </w:rPr>
              <w:t>Coverage Details</w:t>
            </w:r>
          </w:p>
        </w:tc>
      </w:tr>
      <w:tr>
        <w:tc>
          <w:tcPr>
            <w:tcW w:type="dxa" w:w="2880"/>
            <w:shd w:fill="FFFFFF"/>
            <w:tcMar>
              <w:top w:w="100" w:type="dxa"/>
              <w:bottom w:w="100" w:type="dxa"/>
              <w:left w:w="140" w:type="dxa"/>
              <w:right w:w="140" w:type="dxa"/>
            </w:tcMar>
          </w:tcPr>
          <w:p>
            <w:r>
              <w:rPr>
                <w:rFonts w:ascii="Arial" w:hAnsi="Arial"/>
                <w:color w:val="1E2832"/>
                <w:sz w:val="18"/>
              </w:rPr>
              <w:t>Corporate Domain &amp; Email Monitoring</w:t>
            </w:r>
          </w:p>
        </w:tc>
        <w:tc>
          <w:tcPr>
            <w:tcW w:type="dxa" w:w="2592"/>
            <w:shd w:fill="FFFFFF"/>
            <w:tcMar>
              <w:top w:w="100" w:type="dxa"/>
              <w:bottom w:w="100" w:type="dxa"/>
              <w:left w:w="140" w:type="dxa"/>
              <w:right w:w="140" w:type="dxa"/>
            </w:tcMar>
          </w:tcPr>
          <w:p>
            <w:r>
              <w:rPr>
                <w:rFonts w:ascii="Arial" w:hAnsi="Arial"/>
                <w:color w:val="1E2832"/>
                <w:sz w:val="18"/>
              </w:rPr>
              <w:t>24/7 Continuous Automated</w:t>
            </w:r>
          </w:p>
        </w:tc>
        <w:tc>
          <w:tcPr>
            <w:tcW w:type="dxa" w:w="3888"/>
            <w:shd w:fill="FFFFFF"/>
            <w:tcMar>
              <w:top w:w="100" w:type="dxa"/>
              <w:bottom w:w="100" w:type="dxa"/>
              <w:left w:w="140" w:type="dxa"/>
              <w:right w:w="140" w:type="dxa"/>
            </w:tcMar>
          </w:tcPr>
          <w:p>
            <w:r>
              <w:rPr>
                <w:rFonts w:ascii="Arial" w:hAnsi="Arial"/>
                <w:color w:val="1E2832"/>
                <w:sz w:val="18"/>
              </w:rPr>
              <w:t>All @domain.com.au email address leaks in breach corpuses</w:t>
            </w:r>
          </w:p>
        </w:tc>
      </w:tr>
      <w:tr>
        <w:tc>
          <w:tcPr>
            <w:tcW w:type="dxa" w:w="2880"/>
            <w:shd w:fill="F0F4F8"/>
            <w:tcMar>
              <w:top w:w="100" w:type="dxa"/>
              <w:bottom w:w="100" w:type="dxa"/>
              <w:left w:w="140" w:type="dxa"/>
              <w:right w:w="140" w:type="dxa"/>
            </w:tcMar>
          </w:tcPr>
          <w:p>
            <w:r>
              <w:rPr>
                <w:rFonts w:ascii="Arial" w:hAnsi="Arial"/>
                <w:color w:val="1E2832"/>
                <w:sz w:val="18"/>
              </w:rPr>
              <w:t>Stealer Malware Credential Logs</w:t>
            </w:r>
          </w:p>
        </w:tc>
        <w:tc>
          <w:tcPr>
            <w:tcW w:type="dxa" w:w="2592"/>
            <w:shd w:fill="F0F4F8"/>
            <w:tcMar>
              <w:top w:w="100" w:type="dxa"/>
              <w:bottom w:w="100" w:type="dxa"/>
              <w:left w:w="140" w:type="dxa"/>
              <w:right w:w="140" w:type="dxa"/>
            </w:tcMar>
          </w:tcPr>
          <w:p>
            <w:r>
              <w:rPr>
                <w:rFonts w:ascii="Arial" w:hAnsi="Arial"/>
                <w:color w:val="1E2832"/>
                <w:sz w:val="18"/>
              </w:rPr>
              <w:t>Real-Time Ingestion</w:t>
            </w:r>
          </w:p>
        </w:tc>
        <w:tc>
          <w:tcPr>
            <w:tcW w:type="dxa" w:w="3888"/>
            <w:shd w:fill="F0F4F8"/>
            <w:tcMar>
              <w:top w:w="100" w:type="dxa"/>
              <w:bottom w:w="100" w:type="dxa"/>
              <w:left w:w="140" w:type="dxa"/>
              <w:right w:w="140" w:type="dxa"/>
            </w:tcMar>
          </w:tcPr>
          <w:p>
            <w:r>
              <w:rPr>
                <w:rFonts w:ascii="Arial" w:hAnsi="Arial"/>
                <w:color w:val="1E2832"/>
                <w:sz w:val="18"/>
              </w:rPr>
              <w:t>RedLine, Raccoon, Vidar stealer log parsing for active sessions</w:t>
            </w:r>
          </w:p>
        </w:tc>
      </w:tr>
      <w:tr>
        <w:tc>
          <w:tcPr>
            <w:tcW w:type="dxa" w:w="2880"/>
            <w:shd w:fill="FFFFFF"/>
            <w:tcMar>
              <w:top w:w="100" w:type="dxa"/>
              <w:bottom w:w="100" w:type="dxa"/>
              <w:left w:w="140" w:type="dxa"/>
              <w:right w:w="140" w:type="dxa"/>
            </w:tcMar>
          </w:tcPr>
          <w:p>
            <w:r>
              <w:rPr>
                <w:rFonts w:ascii="Arial" w:hAnsi="Arial"/>
                <w:color w:val="1E2832"/>
                <w:sz w:val="18"/>
              </w:rPr>
              <w:t>Dark Web Marketplace &amp; Forum Sweeps</w:t>
            </w:r>
          </w:p>
        </w:tc>
        <w:tc>
          <w:tcPr>
            <w:tcW w:type="dxa" w:w="2592"/>
            <w:shd w:fill="FFFFFF"/>
            <w:tcMar>
              <w:top w:w="100" w:type="dxa"/>
              <w:bottom w:w="100" w:type="dxa"/>
              <w:left w:w="140" w:type="dxa"/>
              <w:right w:w="140" w:type="dxa"/>
            </w:tcMar>
          </w:tcPr>
          <w:p>
            <w:r>
              <w:rPr>
                <w:rFonts w:ascii="Arial" w:hAnsi="Arial"/>
                <w:color w:val="1E2832"/>
                <w:sz w:val="18"/>
              </w:rPr>
              <w:t>Daily Automated Crawl</w:t>
            </w:r>
          </w:p>
        </w:tc>
        <w:tc>
          <w:tcPr>
            <w:tcW w:type="dxa" w:w="3888"/>
            <w:shd w:fill="FFFFFF"/>
            <w:tcMar>
              <w:top w:w="100" w:type="dxa"/>
              <w:bottom w:w="100" w:type="dxa"/>
              <w:left w:w="140" w:type="dxa"/>
              <w:right w:w="140" w:type="dxa"/>
            </w:tcMar>
          </w:tcPr>
          <w:p>
            <w:r>
              <w:rPr>
                <w:rFonts w:ascii="Arial" w:hAnsi="Arial"/>
                <w:color w:val="1E2832"/>
                <w:sz w:val="18"/>
              </w:rPr>
              <w:t>Tor/I2P forums, Telegram breach channels, and paste sites</w:t>
            </w:r>
          </w:p>
        </w:tc>
      </w:tr>
      <w:tr>
        <w:tc>
          <w:tcPr>
            <w:tcW w:type="dxa" w:w="2880"/>
            <w:shd w:fill="F0F4F8"/>
            <w:tcMar>
              <w:top w:w="100" w:type="dxa"/>
              <w:bottom w:w="100" w:type="dxa"/>
              <w:left w:w="140" w:type="dxa"/>
              <w:right w:w="140" w:type="dxa"/>
            </w:tcMar>
          </w:tcPr>
          <w:p>
            <w:r>
              <w:rPr>
                <w:rFonts w:ascii="Arial" w:hAnsi="Arial"/>
                <w:color w:val="1E2832"/>
                <w:sz w:val="18"/>
              </w:rPr>
              <w:t>Executive &amp; High-Risk Role Alerts</w:t>
            </w:r>
          </w:p>
        </w:tc>
        <w:tc>
          <w:tcPr>
            <w:tcW w:type="dxa" w:w="2592"/>
            <w:shd w:fill="F0F4F8"/>
            <w:tcMar>
              <w:top w:w="100" w:type="dxa"/>
              <w:bottom w:w="100" w:type="dxa"/>
              <w:left w:w="140" w:type="dxa"/>
              <w:right w:w="140" w:type="dxa"/>
            </w:tcMar>
          </w:tcPr>
          <w:p>
            <w:r>
              <w:rPr>
                <w:rFonts w:ascii="Arial" w:hAnsi="Arial"/>
                <w:color w:val="1E2832"/>
                <w:sz w:val="18"/>
              </w:rPr>
              <w:t>Instant Real-Time</w:t>
            </w:r>
          </w:p>
        </w:tc>
        <w:tc>
          <w:tcPr>
            <w:tcW w:type="dxa" w:w="3888"/>
            <w:shd w:fill="F0F4F8"/>
            <w:tcMar>
              <w:top w:w="100" w:type="dxa"/>
              <w:bottom w:w="100" w:type="dxa"/>
              <w:left w:w="140" w:type="dxa"/>
              <w:right w:w="140" w:type="dxa"/>
            </w:tcMar>
          </w:tcPr>
          <w:p>
            <w:r>
              <w:rPr>
                <w:rFonts w:ascii="Arial" w:hAnsi="Arial"/>
                <w:color w:val="1E2832"/>
                <w:sz w:val="18"/>
              </w:rPr>
              <w:t>Immediate SMS/email alerts for VIP / Admin credential leaks</w:t>
            </w:r>
          </w:p>
        </w:tc>
      </w:tr>
      <w:tr>
        <w:tc>
          <w:tcPr>
            <w:tcW w:type="dxa" w:w="2880"/>
            <w:shd w:fill="FFFFFF"/>
            <w:tcMar>
              <w:top w:w="100" w:type="dxa"/>
              <w:bottom w:w="100" w:type="dxa"/>
              <w:left w:w="140" w:type="dxa"/>
              <w:right w:w="140" w:type="dxa"/>
            </w:tcMar>
          </w:tcPr>
          <w:p>
            <w:r>
              <w:rPr>
                <w:rFonts w:ascii="Arial" w:hAnsi="Arial"/>
                <w:color w:val="1E2832"/>
                <w:sz w:val="18"/>
              </w:rPr>
              <w:t>Quarterly Threat Landscape Reports</w:t>
            </w:r>
          </w:p>
        </w:tc>
        <w:tc>
          <w:tcPr>
            <w:tcW w:type="dxa" w:w="2592"/>
            <w:shd w:fill="FFFFFF"/>
            <w:tcMar>
              <w:top w:w="100" w:type="dxa"/>
              <w:bottom w:w="100" w:type="dxa"/>
              <w:left w:w="140" w:type="dxa"/>
              <w:right w:w="140" w:type="dxa"/>
            </w:tcMar>
          </w:tcPr>
          <w:p>
            <w:r>
              <w:rPr>
                <w:rFonts w:ascii="Arial" w:hAnsi="Arial"/>
                <w:color w:val="1E2832"/>
                <w:sz w:val="18"/>
              </w:rPr>
              <w:t>Quarterly Delivery</w:t>
            </w:r>
          </w:p>
        </w:tc>
        <w:tc>
          <w:tcPr>
            <w:tcW w:type="dxa" w:w="3888"/>
            <w:shd w:fill="FFFFFF"/>
            <w:tcMar>
              <w:top w:w="100" w:type="dxa"/>
              <w:bottom w:w="100" w:type="dxa"/>
              <w:left w:w="140" w:type="dxa"/>
              <w:right w:w="140" w:type="dxa"/>
            </w:tcMar>
          </w:tcPr>
          <w:p>
            <w:r>
              <w:rPr>
                <w:rFonts w:ascii="Arial" w:hAnsi="Arial"/>
                <w:color w:val="1E2832"/>
                <w:sz w:val="18"/>
              </w:rPr>
              <w:t>Executive summary of domain threat exposure and remediation guidance</w:t>
            </w:r>
          </w:p>
        </w:tc>
      </w:tr>
    </w:tbl>
    <w:p/>
    <w:p>
      <w:pPr>
        <w:pStyle w:val="Heading1"/>
        <w:spacing w:before="320" w:after="160"/>
      </w:pPr>
      <w:r>
        <w:rPr>
          <w:rFonts w:ascii="Arial" w:hAnsi="Arial"/>
          <w:b/>
          <w:color w:val="050D1A"/>
          <w:sz w:val="32"/>
        </w:rPr>
        <w:t>3. Pricing &amp; Subscription Schedule</w:t>
      </w:r>
    </w:p>
    <w:tbl>
      <w:tblPr>
        <w:tblW w:type="auto" w:w="0"/>
        <w:jc w:val="center"/>
        <w:tblLook w:firstColumn="1" w:firstRow="1" w:lastColumn="0" w:lastRow="0" w:noHBand="0" w:noVBand="1" w:val="04A0"/>
      </w:tblPr>
      <w:tblGrid>
        <w:gridCol w:w="2160"/>
        <w:gridCol w:w="2160"/>
        <w:gridCol w:w="2160"/>
        <w:gridCol w:w="2160"/>
      </w:tblGrid>
      <w:tr>
        <w:tc>
          <w:tcPr>
            <w:tcW w:type="dxa" w:w="3600"/>
            <w:shd w:fill="050D1A"/>
            <w:tcMar>
              <w:top w:w="140" w:type="dxa"/>
              <w:bottom w:w="140" w:type="dxa"/>
              <w:left w:w="160" w:type="dxa"/>
              <w:right w:w="160" w:type="dxa"/>
            </w:tcMar>
          </w:tcPr>
          <w:p>
            <w:pPr>
              <w:jc w:val="left"/>
            </w:pPr>
            <w:r>
              <w:rPr>
                <w:rFonts w:ascii="Arial" w:hAnsi="Arial"/>
                <w:b/>
                <w:color w:val="FFFFFF"/>
                <w:sz w:val="19"/>
              </w:rPr>
              <w:t>Subscription Tier</w:t>
            </w:r>
          </w:p>
        </w:tc>
        <w:tc>
          <w:tcPr>
            <w:tcW w:type="dxa" w:w="2592"/>
            <w:shd w:fill="050D1A"/>
            <w:tcMar>
              <w:top w:w="140" w:type="dxa"/>
              <w:bottom w:w="140" w:type="dxa"/>
              <w:left w:w="160" w:type="dxa"/>
              <w:right w:w="160" w:type="dxa"/>
            </w:tcMar>
          </w:tcPr>
          <w:p>
            <w:pPr>
              <w:jc w:val="left"/>
            </w:pPr>
            <w:r>
              <w:rPr>
                <w:rFonts w:ascii="Arial" w:hAnsi="Arial"/>
                <w:b/>
                <w:color w:val="FFFFFF"/>
                <w:sz w:val="19"/>
              </w:rPr>
              <w:t>Domain Scope</w:t>
            </w:r>
          </w:p>
        </w:tc>
        <w:tc>
          <w:tcPr>
            <w:tcW w:type="dxa" w:w="1584"/>
            <w:shd w:fill="050D1A"/>
            <w:tcMar>
              <w:top w:w="140" w:type="dxa"/>
              <w:bottom w:w="140" w:type="dxa"/>
              <w:left w:w="160" w:type="dxa"/>
              <w:right w:w="160" w:type="dxa"/>
            </w:tcMar>
          </w:tcPr>
          <w:p>
            <w:pPr>
              <w:jc w:val="left"/>
            </w:pPr>
            <w:r>
              <w:rPr>
                <w:rFonts w:ascii="Arial" w:hAnsi="Arial"/>
                <w:b/>
                <w:color w:val="FFFFFF"/>
                <w:sz w:val="19"/>
              </w:rPr>
              <w:t>Annual Subscription (ex-GST)</w:t>
            </w:r>
          </w:p>
        </w:tc>
        <w:tc>
          <w:tcPr>
            <w:tcW w:type="dxa" w:w="1584"/>
            <w:shd w:fill="050D1A"/>
            <w:tcMar>
              <w:top w:w="140" w:type="dxa"/>
              <w:bottom w:w="140" w:type="dxa"/>
              <w:left w:w="160" w:type="dxa"/>
              <w:right w:w="160" w:type="dxa"/>
            </w:tcMar>
          </w:tcPr>
          <w:p>
            <w:pPr>
              <w:jc w:val="left"/>
            </w:pPr>
            <w:r>
              <w:rPr>
                <w:rFonts w:ascii="Arial" w:hAnsi="Arial"/>
                <w:b/>
                <w:color w:val="FFFFFF"/>
                <w:sz w:val="19"/>
              </w:rPr>
              <w:t>Total Price (inc-GST)</w:t>
            </w:r>
          </w:p>
        </w:tc>
      </w:tr>
      <w:tr>
        <w:tc>
          <w:tcPr>
            <w:tcW w:type="dxa" w:w="3600"/>
            <w:shd w:fill="FFFFFF"/>
            <w:tcMar>
              <w:top w:w="100" w:type="dxa"/>
              <w:bottom w:w="100" w:type="dxa"/>
              <w:left w:w="140" w:type="dxa"/>
              <w:right w:w="140" w:type="dxa"/>
            </w:tcMar>
          </w:tcPr>
          <w:p>
            <w:r>
              <w:rPr>
                <w:rFonts w:ascii="Arial" w:hAnsi="Arial"/>
                <w:color w:val="1E2832"/>
                <w:sz w:val="18"/>
              </w:rPr>
              <w:t>Annual Domain Surveillance (12 Months)</w:t>
            </w:r>
          </w:p>
        </w:tc>
        <w:tc>
          <w:tcPr>
            <w:tcW w:type="dxa" w:w="2592"/>
            <w:shd w:fill="FFFFFF"/>
            <w:tcMar>
              <w:top w:w="100" w:type="dxa"/>
              <w:bottom w:w="100" w:type="dxa"/>
              <w:left w:w="140" w:type="dxa"/>
              <w:right w:w="140" w:type="dxa"/>
            </w:tcMar>
          </w:tcPr>
          <w:p>
            <w:r>
              <w:rPr>
                <w:rFonts w:ascii="Arial" w:hAnsi="Arial"/>
                <w:color w:val="1E2832"/>
                <w:sz w:val="18"/>
              </w:rPr>
              <w:t>Primary Domain + Up to 250 Accounts</w:t>
            </w:r>
          </w:p>
        </w:tc>
        <w:tc>
          <w:tcPr>
            <w:tcW w:type="dxa" w:w="1584"/>
            <w:shd w:fill="FFFFFF"/>
            <w:tcMar>
              <w:top w:w="100" w:type="dxa"/>
              <w:bottom w:w="100" w:type="dxa"/>
              <w:left w:w="140" w:type="dxa"/>
              <w:right w:w="140" w:type="dxa"/>
            </w:tcMar>
          </w:tcPr>
          <w:p>
            <w:r>
              <w:rPr>
                <w:rFonts w:ascii="Arial" w:hAnsi="Arial"/>
                <w:color w:val="1E2832"/>
                <w:sz w:val="18"/>
              </w:rPr>
              <w:t>$4,200 AUD / Year</w:t>
            </w:r>
          </w:p>
        </w:tc>
        <w:tc>
          <w:tcPr>
            <w:tcW w:type="dxa" w:w="1584"/>
            <w:shd w:fill="FFFFFF"/>
            <w:tcMar>
              <w:top w:w="100" w:type="dxa"/>
              <w:bottom w:w="100" w:type="dxa"/>
              <w:left w:w="140" w:type="dxa"/>
              <w:right w:w="140" w:type="dxa"/>
            </w:tcMar>
          </w:tcPr>
          <w:p>
            <w:r>
              <w:rPr>
                <w:rFonts w:ascii="Arial" w:hAnsi="Arial"/>
                <w:color w:val="1E2832"/>
                <w:sz w:val="18"/>
              </w:rPr>
              <w:t>$4,620 AUD</w:t>
            </w:r>
          </w:p>
        </w:tc>
      </w:tr>
      <w:tr>
        <w:tc>
          <w:tcPr>
            <w:tcW w:type="dxa" w:w="3600"/>
            <w:shd w:fill="F0F4F8"/>
            <w:tcMar>
              <w:top w:w="100" w:type="dxa"/>
              <w:bottom w:w="100" w:type="dxa"/>
              <w:left w:w="140" w:type="dxa"/>
              <w:right w:w="140" w:type="dxa"/>
            </w:tcMar>
          </w:tcPr>
          <w:p>
            <w:r>
              <w:rPr>
                <w:rFonts w:ascii="Arial" w:hAnsi="Arial"/>
                <w:color w:val="1E2832"/>
                <w:sz w:val="18"/>
              </w:rPr>
              <w:t>Enterprise Multi-Domain Surveillance</w:t>
            </w:r>
          </w:p>
        </w:tc>
        <w:tc>
          <w:tcPr>
            <w:tcW w:type="dxa" w:w="2592"/>
            <w:shd w:fill="F0F4F8"/>
            <w:tcMar>
              <w:top w:w="100" w:type="dxa"/>
              <w:bottom w:w="100" w:type="dxa"/>
              <w:left w:w="140" w:type="dxa"/>
              <w:right w:w="140" w:type="dxa"/>
            </w:tcMar>
          </w:tcPr>
          <w:p>
            <w:r>
              <w:rPr>
                <w:rFonts w:ascii="Arial" w:hAnsi="Arial"/>
                <w:color w:val="1E2832"/>
                <w:sz w:val="18"/>
              </w:rPr>
              <w:t>Up to 5 Domains + 1,000 Accounts</w:t>
            </w:r>
          </w:p>
        </w:tc>
        <w:tc>
          <w:tcPr>
            <w:tcW w:type="dxa" w:w="1584"/>
            <w:shd w:fill="F0F4F8"/>
            <w:tcMar>
              <w:top w:w="100" w:type="dxa"/>
              <w:bottom w:w="100" w:type="dxa"/>
              <w:left w:w="140" w:type="dxa"/>
              <w:right w:w="140" w:type="dxa"/>
            </w:tcMar>
          </w:tcPr>
          <w:p>
            <w:r>
              <w:rPr>
                <w:rFonts w:ascii="Arial" w:hAnsi="Arial"/>
                <w:color w:val="1E2832"/>
                <w:sz w:val="18"/>
              </w:rPr>
              <w:t>$7,800 AUD / Year</w:t>
            </w:r>
          </w:p>
        </w:tc>
        <w:tc>
          <w:tcPr>
            <w:tcW w:type="dxa" w:w="1584"/>
            <w:shd w:fill="F0F4F8"/>
            <w:tcMar>
              <w:top w:w="100" w:type="dxa"/>
              <w:bottom w:w="100" w:type="dxa"/>
              <w:left w:w="140" w:type="dxa"/>
              <w:right w:w="140" w:type="dxa"/>
            </w:tcMar>
          </w:tcPr>
          <w:p>
            <w:r>
              <w:rPr>
                <w:rFonts w:ascii="Arial" w:hAnsi="Arial"/>
                <w:color w:val="1E2832"/>
                <w:sz w:val="18"/>
              </w:rPr>
              <w:t>$8,580 AUD</w:t>
            </w:r>
          </w:p>
        </w:tc>
      </w:tr>
    </w:tbl>
    <w:p/>
    <w:p>
      <w:pPr>
        <w:pStyle w:val="Heading1"/>
        <w:spacing w:before="320" w:after="160"/>
      </w:pPr>
      <w:r>
        <w:rPr>
          <w:rFonts w:ascii="Arial" w:hAnsi="Arial"/>
          <w:b/>
          <w:color w:val="050D1A"/>
          <w:sz w:val="32"/>
        </w:rPr>
        <w:t>7. Key Personnel &amp; Founder Profile</w:t>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40" w:type="dxa"/>
              <w:right w:w="140" w:type="dxa"/>
            </w:tcMar>
          </w:tcPr>
          <w:p>
            <w:r>
              <w:rPr>
                <w:b/>
                <w:color w:val="00F5FF"/>
                <w:sz w:val="23"/>
              </w:rPr>
              <w:t>MO QASIM</w:t>
              <w:br/>
            </w:r>
            <w:r>
              <w:rPr>
                <w:color w:val="DCE6F0"/>
                <w:sz w:val="18"/>
              </w:rPr>
              <w:t>Founder &amp; Principal Consultant</w:t>
              <w:br/>
              <w:t>Senior Cyber Security Specialist</w:t>
              <w:br/>
              <w:br/>
            </w:r>
            <w:r>
              <w:rPr>
                <w:color w:val="B4C8DC"/>
                <w:sz w:val="17"/>
              </w:rPr>
              <w:t>CLEARANCE:</w:t>
              <w:br/>
              <w:t>NV2 (Negative Vetting 2)</w:t>
              <w:br/>
              <w:br/>
              <w:t>EDUCATION:</w:t>
              <w:br/>
              <w:t>Masters in Cyber Security Engineering (UNSW)</w:t>
              <w:br/>
              <w:br/>
              <w:t>LOCATION:</w:t>
              <w:br/>
              <w:t>Sydney, NSW</w:t>
              <w:br/>
              <w:br/>
              <w:t>CONTACT:</w:t>
              <w:br/>
              <w:t>mo@forcefortitude.com</w:t>
            </w:r>
          </w:p>
        </w:tc>
        <w:tc>
          <w:tcPr>
            <w:tcW w:type="dxa" w:w="6192"/>
            <w:shd w:fill="F8FAFC"/>
            <w:tcMar>
              <w:top w:w="140" w:type="dxa"/>
              <w:bottom w:w="140" w:type="dxa"/>
              <w:left w:w="160" w:type="dxa"/>
              <w:right w:w="160" w:type="dxa"/>
            </w:tcMar>
          </w:tcPr>
          <w:p>
            <w:r>
              <w:rPr>
                <w:b/>
                <w:color w:val="050D1A"/>
                <w:sz w:val="20"/>
              </w:rPr>
              <w:t>Professional Summary &amp; Defence Pedigree:</w:t>
              <w:br/>
            </w:r>
          </w:p>
          <w:p>
            <w:pPr>
              <w:spacing w:before="80"/>
            </w:pPr>
            <w:r>
              <w:rPr>
                <w:color w:val="28323C"/>
                <w:sz w:val="17"/>
              </w:rPr>
              <w:t>Mo Qasim is a Cyber Governance and Penetration Testing Specialist holding an active NV2 Security Clearance with over a decade of experience across the Australian Defence Force (Air Force / RAAF), government entities, healthcare, and enterprise networks.</w:t>
              <w:br/>
              <w:br/>
              <w:t>Former Systems &amp; Cyberspace Security Integration Analyst for domestic and international Defence operations across Protected and Secret domains. Experienced in conducting internal, external, web application, API, mobile (iOS/Android) penetration testing, and digital forensics scrutiny.</w:t>
              <w:br/>
              <w:br/>
              <w:t>Certifications &amp; ADF Training:</w:t>
              <w:br/>
              <w:t>• Information Technology Security Officers Course (Defence Force Cyber College 2024)</w:t>
              <w:br/>
              <w:t>• ISMS Lead Auditor (Defence Force Cyber College 2024)</w:t>
              <w:br/>
              <w:t>• Joint Vulnerability Assessment Analyst (Defence Force Cyber College 2023)</w:t>
              <w:br/>
              <w:t>• Essential Eight Assessment Specialist (TAFE NSW 2023)</w:t>
              <w:br/>
              <w:t>• CCNA 1, 2 &amp; 3 Scaling Networks | MOC Virtualization &amp; Cloud Security</w:t>
              <w:br/>
              <w:br/>
              <w:t>Recognised Bug Bounty &amp; Vulnerability Disclosure Researcher:</w:t>
              <w:br/>
              <w:t>• Attorney-General's Department</w:t>
              <w:br/>
              <w:t>• Australia Post</w:t>
              <w:br/>
              <w:t>• Western Australia Department of Education &amp; WA Office of Digital Government</w:t>
              <w:br/>
              <w:t>• Australian Department of Health &amp; Australian Institute of Health &amp; Welfare</w:t>
              <w:br/>
              <w:br/>
              <w:t>Honours &amp; Medals:</w:t>
              <w:br/>
              <w:t>• Australian Defence Medal</w:t>
              <w:br/>
              <w:t>• Australian Operational Service Medal (Greater Middle East Operation)</w:t>
              <w:br/>
              <w:t>• Operational Service Badge (Military) | Air Force Appreciation Medal</w:t>
            </w:r>
          </w:p>
        </w:tc>
      </w:tr>
    </w:tbl>
    <w:p/>
    <w:p>
      <w:pPr>
        <w:pStyle w:val="Heading1"/>
        <w:spacing w:before="320" w:after="160"/>
      </w:pPr>
      <w:r>
        <w:rPr>
          <w:rFonts w:ascii="Arial" w:hAnsi="Arial"/>
          <w:b/>
          <w:color w:val="050D1A"/>
          <w:sz w:val="32"/>
        </w:rPr>
        <w:t>8. Terms &amp; Conditions</w:t>
      </w:r>
    </w:p>
    <w:p>
      <w:pPr>
        <w:pStyle w:val="Heading3"/>
        <w:spacing w:before="200" w:after="80"/>
      </w:pPr>
      <w:r>
        <w:rPr>
          <w:rFonts w:ascii="Arial" w:hAnsi="Arial"/>
          <w:b/>
          <w:color w:val="283246"/>
          <w:sz w:val="22"/>
        </w:rPr>
        <w:t>1. Definitions &amp; Interpretation</w:t>
      </w:r>
    </w:p>
    <w:p>
      <w:pPr>
        <w:spacing w:after="60"/>
      </w:pPr>
      <w:r>
        <w:rPr>
          <w:rFonts w:ascii="Arial" w:hAnsi="Arial"/>
          <w:color w:val="323C46"/>
          <w:sz w:val="17"/>
        </w:rPr>
        <w:t>In this agreement, 'Force Fortitude' means Force Fortitude Pty Ltd (ABN 42 691 602 276). 'Customer' means the entity listed in the Document Control schedule. 'Services' means the cybersecurity consulting and testing services described herein.</w:t>
      </w:r>
    </w:p>
    <w:p>
      <w:pPr>
        <w:pStyle w:val="Heading3"/>
        <w:spacing w:before="200" w:after="80"/>
      </w:pPr>
      <w:r>
        <w:rPr>
          <w:rFonts w:ascii="Arial" w:hAnsi="Arial"/>
          <w:b/>
          <w:color w:val="283246"/>
          <w:sz w:val="22"/>
        </w:rPr>
        <w:t>2. Engagement &amp; Scope</w:t>
      </w:r>
    </w:p>
    <w:p>
      <w:pPr>
        <w:spacing w:after="60"/>
      </w:pPr>
      <w:r>
        <w:rPr>
          <w:rFonts w:ascii="Arial" w:hAnsi="Arial"/>
          <w:color w:val="323C46"/>
          <w:sz w:val="17"/>
        </w:rPr>
        <w:t>Force Fortitude agrees to perform the Services in a professional, timely, and workmanlike manner using qualified security personnel holding relevant industry certifications and security clearances.</w:t>
      </w:r>
    </w:p>
    <w:p>
      <w:pPr>
        <w:pStyle w:val="Heading3"/>
        <w:spacing w:before="200" w:after="80"/>
      </w:pPr>
      <w:r>
        <w:rPr>
          <w:rFonts w:ascii="Arial" w:hAnsi="Arial"/>
          <w:b/>
          <w:color w:val="283246"/>
          <w:sz w:val="22"/>
        </w:rPr>
        <w:t>3. Client Authorization &amp; Access</w:t>
      </w:r>
    </w:p>
    <w:p>
      <w:pPr>
        <w:spacing w:after="60"/>
      </w:pPr>
      <w:r>
        <w:rPr>
          <w:rFonts w:ascii="Arial" w:hAnsi="Arial"/>
          <w:color w:val="323C46"/>
          <w:sz w:val="17"/>
        </w:rPr>
        <w:t>The Customer warrants that it has full legal authority to authorize Force Fortitude to conduct security testing, vulnerability scanning, and evidence analysis on the designated systems and scope listed in Section 3.</w:t>
      </w:r>
    </w:p>
    <w:p>
      <w:pPr>
        <w:pStyle w:val="Heading3"/>
        <w:spacing w:before="200" w:after="80"/>
      </w:pPr>
      <w:r>
        <w:rPr>
          <w:rFonts w:ascii="Arial" w:hAnsi="Arial"/>
          <w:b/>
          <w:color w:val="283246"/>
          <w:sz w:val="22"/>
        </w:rPr>
        <w:t>4. Confidentiality &amp; Non-Disclosure</w:t>
      </w:r>
    </w:p>
    <w:p>
      <w:pPr>
        <w:spacing w:after="60"/>
      </w:pPr>
      <w:r>
        <w:rPr>
          <w:rFonts w:ascii="Arial" w:hAnsi="Arial"/>
          <w:color w:val="323C46"/>
          <w:sz w:val="17"/>
        </w:rPr>
        <w:t>All information, data, findings, and reports generated during the engagement shall remain strictly confidential. Force Fortitude stores all test data in hardware-encrypted, Australian-sovereign environments complying with the Privacy Act 1988 (Cth).</w:t>
      </w:r>
    </w:p>
    <w:p>
      <w:pPr>
        <w:pStyle w:val="Heading3"/>
        <w:spacing w:before="200" w:after="80"/>
      </w:pPr>
      <w:r>
        <w:rPr>
          <w:rFonts w:ascii="Arial" w:hAnsi="Arial"/>
          <w:b/>
          <w:color w:val="283246"/>
          <w:sz w:val="22"/>
        </w:rPr>
        <w:t>5. Deliverables &amp; Acceptance</w:t>
      </w:r>
    </w:p>
    <w:p>
      <w:pPr>
        <w:spacing w:after="60"/>
      </w:pPr>
      <w:r>
        <w:rPr>
          <w:rFonts w:ascii="Arial" w:hAnsi="Arial"/>
          <w:color w:val="323C46"/>
          <w:sz w:val="17"/>
        </w:rPr>
        <w:t>Force Fortitude will issue draft executive and technical findings reports upon completion. The Customer has fourteen (14) business days to provide review feedback prior to final report issuance.</w:t>
      </w:r>
    </w:p>
    <w:p>
      <w:pPr>
        <w:pStyle w:val="Heading3"/>
        <w:spacing w:before="200" w:after="80"/>
      </w:pPr>
      <w:r>
        <w:rPr>
          <w:rFonts w:ascii="Arial" w:hAnsi="Arial"/>
          <w:b/>
          <w:color w:val="283246"/>
          <w:sz w:val="22"/>
        </w:rPr>
        <w:t>6. Fees, Pricing &amp; Payment</w:t>
      </w:r>
    </w:p>
    <w:p>
      <w:pPr>
        <w:spacing w:after="60"/>
      </w:pPr>
      <w:r>
        <w:rPr>
          <w:rFonts w:ascii="Arial" w:hAnsi="Arial"/>
          <w:color w:val="323C46"/>
          <w:sz w:val="17"/>
        </w:rPr>
        <w:t>Fees are quoted in Australian Dollars ($ AUD) exclusive of GST. Invoices are payable within fourteen (14) business days of draft report issuance. Out-of-hours testing requested by the Customer will incur standard weekend/holiday loadings.</w:t>
      </w:r>
    </w:p>
    <w:p>
      <w:pPr>
        <w:pStyle w:val="Heading3"/>
        <w:spacing w:before="200" w:after="80"/>
      </w:pPr>
      <w:r>
        <w:rPr>
          <w:rFonts w:ascii="Arial" w:hAnsi="Arial"/>
          <w:b/>
          <w:color w:val="283246"/>
          <w:sz w:val="22"/>
        </w:rPr>
        <w:t>7. Intellectual Property</w:t>
      </w:r>
    </w:p>
    <w:p>
      <w:pPr>
        <w:spacing w:after="60"/>
      </w:pPr>
      <w:r>
        <w:rPr>
          <w:rFonts w:ascii="Arial" w:hAnsi="Arial"/>
          <w:color w:val="323C46"/>
          <w:sz w:val="17"/>
        </w:rPr>
        <w:t>The Customer retains ownership of all proprietary data. Force Fortitude grants a perpetual, non-exclusive, royalty-free license to the Customer to use all final reports and remediation guidance.</w:t>
      </w:r>
    </w:p>
    <w:p>
      <w:pPr>
        <w:pStyle w:val="Heading3"/>
        <w:spacing w:before="200" w:after="80"/>
      </w:pPr>
      <w:r>
        <w:rPr>
          <w:rFonts w:ascii="Arial" w:hAnsi="Arial"/>
          <w:b/>
          <w:color w:val="283246"/>
          <w:sz w:val="22"/>
        </w:rPr>
        <w:t>8. Limitation of Liability</w:t>
      </w:r>
    </w:p>
    <w:p>
      <w:pPr>
        <w:spacing w:after="60"/>
      </w:pPr>
      <w:r>
        <w:rPr>
          <w:rFonts w:ascii="Arial" w:hAnsi="Arial"/>
          <w:color w:val="323C46"/>
          <w:sz w:val="17"/>
        </w:rPr>
        <w:t>To the maximum extent permitted under New South Wales law, Force Fortitude's aggregate liability under this agreement shall be limited to the total fees paid by the Customer for the specific engagement.</w:t>
      </w:r>
    </w:p>
    <w:p>
      <w:pPr>
        <w:pStyle w:val="Heading3"/>
        <w:spacing w:before="200" w:after="80"/>
      </w:pPr>
      <w:r>
        <w:rPr>
          <w:rFonts w:ascii="Arial" w:hAnsi="Arial"/>
          <w:b/>
          <w:color w:val="283246"/>
          <w:sz w:val="22"/>
        </w:rPr>
        <w:t>9. Governing Law</w:t>
      </w:r>
    </w:p>
    <w:p>
      <w:pPr>
        <w:spacing w:after="60"/>
      </w:pPr>
      <w:r>
        <w:rPr>
          <w:rFonts w:ascii="Arial" w:hAnsi="Arial"/>
          <w:color w:val="323C46"/>
          <w:sz w:val="17"/>
        </w:rPr>
        <w:t>This proposal and resulting contract shall be governed by and construed in accordance with the laws of the State of New South Wales, Australia.</w:t>
      </w:r>
    </w:p>
    <w:p>
      <w:pPr>
        <w:pStyle w:val="Heading1"/>
        <w:spacing w:before="320" w:after="160"/>
      </w:pPr>
      <w:r>
        <w:rPr>
          <w:rFonts w:ascii="Arial" w:hAnsi="Arial"/>
          <w:b/>
          <w:color w:val="050D1A"/>
          <w:sz w:val="32"/>
        </w:rPr>
        <w:t>9. Agreement of Work</w:t>
      </w:r>
    </w:p>
    <w:p>
      <w:r>
        <w:rPr>
          <w:rFonts w:ascii="Arial" w:hAnsi="Arial"/>
          <w:color w:val="28323C"/>
          <w:sz w:val="18"/>
        </w:rPr>
        <w:t>Force Fortitude Pty Ltd requests that [Client Organisation Name] indicates formal acceptance and agreement with the proposal of work to be undertaken by signing and returning this document below.</w:t>
        <w:br/>
        <w:br/>
        <w:t>Upon receipt of the signed agreement and purchase order, Force Fortitude will schedule the project commencement meeting.</w:t>
      </w:r>
    </w:p>
    <w:tbl>
      <w:tblPr>
        <w:tblW w:type="auto" w:w="0"/>
        <w:jc w:val="center"/>
        <w:tblLook w:firstColumn="1" w:firstRow="1" w:lastColumn="0" w:lastRow="0" w:noHBand="0" w:noVBand="1" w:val="04A0"/>
      </w:tblPr>
      <w:tblGrid>
        <w:gridCol w:w="4320"/>
        <w:gridCol w:w="4320"/>
      </w:tblGrid>
      <w:tr>
        <w:tc>
          <w:tcPr>
            <w:tcW w:type="dxa" w:w="3168"/>
            <w:shd w:fill="F0F4F8"/>
            <w:tcMar>
              <w:top w:w="70" w:type="dxa"/>
              <w:bottom w:w="70" w:type="dxa"/>
              <w:left w:w="100" w:type="dxa"/>
              <w:right w:w="100" w:type="dxa"/>
            </w:tcMar>
          </w:tcPr>
          <w:p>
            <w:r>
              <w:rPr>
                <w:b/>
                <w:sz w:val="17"/>
              </w:rPr>
              <w:t>Client Organisation:</w:t>
            </w:r>
          </w:p>
        </w:tc>
        <w:tc>
          <w:tcPr>
            <w:tcW w:type="dxa" w:w="6192"/>
            <w:shd w:fill="FFFFFF"/>
            <w:tcMar>
              <w:top w:w="70" w:type="dxa"/>
              <w:bottom w:w="70" w:type="dxa"/>
              <w:left w:w="100" w:type="dxa"/>
              <w:right w:w="100" w:type="dxa"/>
            </w:tcMar>
          </w:tcPr>
          <w:p>
            <w:r>
              <w:t>[Client Organisation Name]</w:t>
            </w:r>
          </w:p>
        </w:tc>
      </w:tr>
      <w:tr>
        <w:tc>
          <w:tcPr>
            <w:tcW w:type="dxa" w:w="3168"/>
            <w:shd w:fill="F0F4F8"/>
            <w:tcMar>
              <w:top w:w="70" w:type="dxa"/>
              <w:bottom w:w="70" w:type="dxa"/>
              <w:left w:w="100" w:type="dxa"/>
              <w:right w:w="100" w:type="dxa"/>
            </w:tcMar>
          </w:tcPr>
          <w:p>
            <w:r>
              <w:rPr>
                <w:b/>
                <w:sz w:val="17"/>
              </w:rPr>
              <w:t>Authorised Signature: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Printed Name: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Job Title / Role: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Date of Signature:</w:t>
            </w:r>
          </w:p>
        </w:tc>
        <w:tc>
          <w:tcPr>
            <w:tcW w:type="dxa" w:w="6192"/>
            <w:shd w:fill="FFFFFF"/>
            <w:tcMar>
              <w:top w:w="70" w:type="dxa"/>
              <w:bottom w:w="70" w:type="dxa"/>
              <w:left w:w="100" w:type="dxa"/>
              <w:right w:w="100" w:type="dxa"/>
            </w:tcMar>
          </w:tcPr>
          <w:p>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828C"/>
        <w:sz w:val="17"/>
      </w:rPr>
      <w:t>Commercial in Confidence | Proposal ID: FF-PROP-DWMS-2026 | ABN: 42 691 602 276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Force Fortitude Pty Ltd | Dark Web Threat Intelligence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