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50D1A"/>
          <w:sz w:val="48"/>
        </w:rPr>
        <w:t>Proposal of Works</w:t>
        <w:br/>
        <w:t>External Penetration Testing</w:t>
        <w:br/>
      </w:r>
      <w:r>
        <w:rPr>
          <w:rFonts w:ascii="Arial" w:hAnsi="Arial"/>
          <w:color w:val="0066CC"/>
          <w:sz w:val="26"/>
        </w:rPr>
        <w:t>External Perimeter, Web Applications &amp; API Security Assurance</w:t>
        <w:br/>
        <w:br/>
      </w:r>
    </w:p>
    <w:tbl>
      <w:tblPr>
        <w:tblW w:type="auto" w:w="0"/>
        <w:jc w:val="center"/>
        <w:tblLook w:firstColumn="1" w:firstRow="1" w:lastColumn="0" w:lastRow="0" w:noHBand="0" w:noVBand="1" w:val="04A0"/>
      </w:tblPr>
      <w:tblGrid>
        <w:gridCol w:w="4320"/>
        <w:gridCol w:w="4320"/>
      </w:tblGrid>
      <w:tr>
        <w:tc>
          <w:tcPr>
            <w:tcW w:type="dxa" w:w="3168"/>
            <w:shd w:fill="050D1A"/>
            <w:tcMar>
              <w:top w:w="140" w:type="dxa"/>
              <w:bottom w:w="140" w:type="dxa"/>
              <w:left w:w="160" w:type="dxa"/>
              <w:right w:w="160" w:type="dxa"/>
            </w:tcMar>
          </w:tcPr>
          <w:p>
            <w:pPr>
              <w:jc w:val="left"/>
            </w:pPr>
            <w:r>
              <w:rPr>
                <w:rFonts w:ascii="Arial" w:hAnsi="Arial"/>
                <w:b/>
                <w:color w:val="FFFFFF"/>
                <w:sz w:val="19"/>
              </w:rPr>
              <w:t>Document Control</w:t>
            </w:r>
          </w:p>
        </w:tc>
        <w:tc>
          <w:tcPr>
            <w:tcW w:type="dxa" w:w="6192"/>
            <w:shd w:fill="050D1A"/>
            <w:tcMar>
              <w:top w:w="140" w:type="dxa"/>
              <w:bottom w:w="140" w:type="dxa"/>
              <w:left w:w="160" w:type="dxa"/>
              <w:right w:w="160" w:type="dxa"/>
            </w:tcMar>
          </w:tcPr>
          <w:p>
            <w:pPr>
              <w:jc w:val="left"/>
            </w:pPr>
            <w:r>
              <w:rPr>
                <w:rFonts w:ascii="Arial" w:hAnsi="Arial"/>
                <w:b/>
                <w:color w:val="FFFFFF"/>
                <w:sz w:val="19"/>
              </w:rPr>
              <w:t>Details</w:t>
            </w:r>
          </w:p>
        </w:tc>
      </w:tr>
      <w:tr>
        <w:tc>
          <w:tcPr>
            <w:tcW w:type="dxa" w:w="3168"/>
            <w:shd w:fill="FFFFFF"/>
            <w:tcMar>
              <w:top w:w="100" w:type="dxa"/>
              <w:bottom w:w="100" w:type="dxa"/>
              <w:left w:w="140" w:type="dxa"/>
              <w:right w:w="140" w:type="dxa"/>
            </w:tcMar>
          </w:tcPr>
          <w:p>
            <w:r>
              <w:rPr>
                <w:rFonts w:ascii="Arial" w:hAnsi="Arial"/>
                <w:color w:val="1E2832"/>
                <w:sz w:val="18"/>
              </w:rPr>
              <w:t>Prepared For Client</w:t>
            </w:r>
          </w:p>
        </w:tc>
        <w:tc>
          <w:tcPr>
            <w:tcW w:type="dxa" w:w="6192"/>
            <w:shd w:fill="FFFFFF"/>
            <w:tcMar>
              <w:top w:w="100" w:type="dxa"/>
              <w:bottom w:w="100" w:type="dxa"/>
              <w:left w:w="140" w:type="dxa"/>
              <w:right w:w="140" w:type="dxa"/>
            </w:tcMar>
          </w:tcPr>
          <w:p>
            <w:r>
              <w:rPr>
                <w:rFonts w:ascii="Arial" w:hAnsi="Arial"/>
                <w:color w:val="1E2832"/>
                <w:sz w:val="18"/>
              </w:rPr>
              <w:t>[Client Organisation Name]</w:t>
            </w:r>
          </w:p>
        </w:tc>
      </w:tr>
      <w:tr>
        <w:tc>
          <w:tcPr>
            <w:tcW w:type="dxa" w:w="3168"/>
            <w:shd w:fill="F0F4F8"/>
            <w:tcMar>
              <w:top w:w="100" w:type="dxa"/>
              <w:bottom w:w="100" w:type="dxa"/>
              <w:left w:w="140" w:type="dxa"/>
              <w:right w:w="140" w:type="dxa"/>
            </w:tcMar>
          </w:tcPr>
          <w:p>
            <w:r>
              <w:rPr>
                <w:rFonts w:ascii="Arial" w:hAnsi="Arial"/>
                <w:color w:val="1E2832"/>
                <w:sz w:val="18"/>
              </w:rPr>
              <w:t>Prepared By</w:t>
            </w:r>
          </w:p>
        </w:tc>
        <w:tc>
          <w:tcPr>
            <w:tcW w:type="dxa" w:w="6192"/>
            <w:shd w:fill="F0F4F8"/>
            <w:tcMar>
              <w:top w:w="100" w:type="dxa"/>
              <w:bottom w:w="100" w:type="dxa"/>
              <w:left w:w="140" w:type="dxa"/>
              <w:right w:w="140" w:type="dxa"/>
            </w:tcMar>
          </w:tcPr>
          <w:p>
            <w:r>
              <w:rPr>
                <w:rFonts w:ascii="Arial" w:hAnsi="Arial"/>
                <w:color w:val="1E2832"/>
                <w:sz w:val="18"/>
              </w:rPr>
              <w:t>Force Fortitude Pty Ltd (ABN: 42 691 602 276)</w:t>
            </w:r>
          </w:p>
        </w:tc>
      </w:tr>
      <w:tr>
        <w:tc>
          <w:tcPr>
            <w:tcW w:type="dxa" w:w="3168"/>
            <w:shd w:fill="FFFFFF"/>
            <w:tcMar>
              <w:top w:w="100" w:type="dxa"/>
              <w:bottom w:w="100" w:type="dxa"/>
              <w:left w:w="140" w:type="dxa"/>
              <w:right w:w="140" w:type="dxa"/>
            </w:tcMar>
          </w:tcPr>
          <w:p>
            <w:r>
              <w:rPr>
                <w:rFonts w:ascii="Arial" w:hAnsi="Arial"/>
                <w:color w:val="1E2832"/>
                <w:sz w:val="18"/>
              </w:rPr>
              <w:t>Lead Consultant</w:t>
            </w:r>
          </w:p>
        </w:tc>
        <w:tc>
          <w:tcPr>
            <w:tcW w:type="dxa" w:w="6192"/>
            <w:shd w:fill="FFFFFF"/>
            <w:tcMar>
              <w:top w:w="100" w:type="dxa"/>
              <w:bottom w:w="100" w:type="dxa"/>
              <w:left w:w="140" w:type="dxa"/>
              <w:right w:w="140" w:type="dxa"/>
            </w:tcMar>
          </w:tcPr>
          <w:p>
            <w:r>
              <w:rPr>
                <w:rFonts w:ascii="Arial" w:hAnsi="Arial"/>
                <w:color w:val="1E2832"/>
                <w:sz w:val="18"/>
              </w:rPr>
              <w:t>Mo Qasim (Founder &amp; Principal Consultant, NV2)</w:t>
            </w:r>
          </w:p>
        </w:tc>
      </w:tr>
      <w:tr>
        <w:tc>
          <w:tcPr>
            <w:tcW w:type="dxa" w:w="3168"/>
            <w:shd w:fill="F0F4F8"/>
            <w:tcMar>
              <w:top w:w="100" w:type="dxa"/>
              <w:bottom w:w="100" w:type="dxa"/>
              <w:left w:w="140" w:type="dxa"/>
              <w:right w:w="140" w:type="dxa"/>
            </w:tcMar>
          </w:tcPr>
          <w:p>
            <w:r>
              <w:rPr>
                <w:rFonts w:ascii="Arial" w:hAnsi="Arial"/>
                <w:color w:val="1E2832"/>
                <w:sz w:val="18"/>
              </w:rPr>
              <w:t>Proposal Version</w:t>
            </w:r>
          </w:p>
        </w:tc>
        <w:tc>
          <w:tcPr>
            <w:tcW w:type="dxa" w:w="6192"/>
            <w:shd w:fill="F0F4F8"/>
            <w:tcMar>
              <w:top w:w="100" w:type="dxa"/>
              <w:bottom w:w="100" w:type="dxa"/>
              <w:left w:w="140" w:type="dxa"/>
              <w:right w:w="140" w:type="dxa"/>
            </w:tcMar>
          </w:tcPr>
          <w:p>
            <w:r>
              <w:rPr>
                <w:rFonts w:ascii="Arial" w:hAnsi="Arial"/>
                <w:color w:val="1E2832"/>
                <w:sz w:val="18"/>
              </w:rPr>
              <w:t>1.0 (Final)</w:t>
            </w:r>
          </w:p>
        </w:tc>
      </w:tr>
      <w:tr>
        <w:tc>
          <w:tcPr>
            <w:tcW w:type="dxa" w:w="3168"/>
            <w:shd w:fill="FFFFFF"/>
            <w:tcMar>
              <w:top w:w="100" w:type="dxa"/>
              <w:bottom w:w="100" w:type="dxa"/>
              <w:left w:w="140" w:type="dxa"/>
              <w:right w:w="140" w:type="dxa"/>
            </w:tcMar>
          </w:tcPr>
          <w:p>
            <w:r>
              <w:rPr>
                <w:rFonts w:ascii="Arial" w:hAnsi="Arial"/>
                <w:color w:val="1E2832"/>
                <w:sz w:val="18"/>
              </w:rPr>
              <w:t>Proposal ID</w:t>
            </w:r>
          </w:p>
        </w:tc>
        <w:tc>
          <w:tcPr>
            <w:tcW w:type="dxa" w:w="6192"/>
            <w:shd w:fill="FFFFFF"/>
            <w:tcMar>
              <w:top w:w="100" w:type="dxa"/>
              <w:bottom w:w="100" w:type="dxa"/>
              <w:left w:w="140" w:type="dxa"/>
              <w:right w:w="140" w:type="dxa"/>
            </w:tcMar>
          </w:tcPr>
          <w:p>
            <w:r>
              <w:rPr>
                <w:rFonts w:ascii="Arial" w:hAnsi="Arial"/>
                <w:color w:val="1E2832"/>
                <w:sz w:val="18"/>
              </w:rPr>
              <w:t>FF-PROP-ENPT-2026-01</w:t>
            </w:r>
          </w:p>
        </w:tc>
      </w:tr>
      <w:tr>
        <w:tc>
          <w:tcPr>
            <w:tcW w:type="dxa" w:w="3168"/>
            <w:shd w:fill="F0F4F8"/>
            <w:tcMar>
              <w:top w:w="100" w:type="dxa"/>
              <w:bottom w:w="100" w:type="dxa"/>
              <w:left w:w="140" w:type="dxa"/>
              <w:right w:w="140" w:type="dxa"/>
            </w:tcMar>
          </w:tcPr>
          <w:p>
            <w:r>
              <w:rPr>
                <w:rFonts w:ascii="Arial" w:hAnsi="Arial"/>
                <w:color w:val="1E2832"/>
                <w:sz w:val="18"/>
              </w:rPr>
              <w:t>Date Issued</w:t>
            </w:r>
          </w:p>
        </w:tc>
        <w:tc>
          <w:tcPr>
            <w:tcW w:type="dxa" w:w="6192"/>
            <w:shd w:fill="F0F4F8"/>
            <w:tcMar>
              <w:top w:w="100" w:type="dxa"/>
              <w:bottom w:w="100" w:type="dxa"/>
              <w:left w:w="140" w:type="dxa"/>
              <w:right w:w="140" w:type="dxa"/>
            </w:tcMar>
          </w:tcPr>
          <w:p>
            <w:r>
              <w:rPr>
                <w:rFonts w:ascii="Arial" w:hAnsi="Arial"/>
                <w:color w:val="1E2832"/>
                <w:sz w:val="18"/>
              </w:rPr>
              <w:t>August 2026</w:t>
            </w:r>
          </w:p>
        </w:tc>
      </w:tr>
      <w:tr>
        <w:tc>
          <w:tcPr>
            <w:tcW w:type="dxa" w:w="3168"/>
            <w:shd w:fill="FFFFFF"/>
            <w:tcMar>
              <w:top w:w="100" w:type="dxa"/>
              <w:bottom w:w="100" w:type="dxa"/>
              <w:left w:w="140" w:type="dxa"/>
              <w:right w:w="140" w:type="dxa"/>
            </w:tcMar>
          </w:tcPr>
          <w:p>
            <w:r>
              <w:rPr>
                <w:rFonts w:ascii="Arial" w:hAnsi="Arial"/>
                <w:color w:val="1E2832"/>
                <w:sz w:val="18"/>
              </w:rPr>
              <w:t>Validity</w:t>
            </w:r>
          </w:p>
        </w:tc>
        <w:tc>
          <w:tcPr>
            <w:tcW w:type="dxa" w:w="6192"/>
            <w:shd w:fill="FFFFFF"/>
            <w:tcMar>
              <w:top w:w="100" w:type="dxa"/>
              <w:bottom w:w="100" w:type="dxa"/>
              <w:left w:w="140" w:type="dxa"/>
              <w:right w:w="140" w:type="dxa"/>
            </w:tcMar>
          </w:tcPr>
          <w:p>
            <w:r>
              <w:rPr>
                <w:rFonts w:ascii="Arial" w:hAnsi="Arial"/>
                <w:color w:val="1E2832"/>
                <w:sz w:val="18"/>
              </w:rPr>
              <w:t>30 Days from Issue</w:t>
            </w:r>
          </w:p>
        </w:tc>
      </w:tr>
    </w:tbl>
    <w:p/>
    <w:p>
      <w:pPr>
        <w:pStyle w:val="Heading1"/>
        <w:spacing w:before="320" w:after="160"/>
      </w:pPr>
      <w:r>
        <w:rPr>
          <w:rFonts w:ascii="Arial" w:hAnsi="Arial"/>
          <w:b/>
          <w:color w:val="050D1A"/>
          <w:sz w:val="32"/>
        </w:rPr>
        <w:t>Table of Contents</w:t>
      </w:r>
    </w:p>
    <w:p>
      <w:pPr>
        <w:spacing w:after="40"/>
      </w:pPr>
      <w:r>
        <w:rPr>
          <w:color w:val="28323C"/>
          <w:sz w:val="19"/>
        </w:rPr>
        <w:t>1. Executive Summary &amp; Introduction</w:t>
      </w:r>
    </w:p>
    <w:p>
      <w:pPr>
        <w:spacing w:after="40"/>
      </w:pPr>
      <w:r>
        <w:rPr>
          <w:color w:val="28323C"/>
          <w:sz w:val="19"/>
        </w:rPr>
        <w:t>2. About Force Fortitude Pty Ltd</w:t>
      </w:r>
    </w:p>
    <w:p>
      <w:pPr>
        <w:spacing w:after="40"/>
      </w:pPr>
      <w:r>
        <w:rPr>
          <w:color w:val="28323C"/>
          <w:sz w:val="19"/>
        </w:rPr>
        <w:t>3. Scope of Works &amp; Target Inventory</w:t>
      </w:r>
    </w:p>
    <w:p>
      <w:pPr>
        <w:spacing w:after="40"/>
      </w:pPr>
      <w:r>
        <w:rPr>
          <w:color w:val="28323C"/>
          <w:sz w:val="19"/>
        </w:rPr>
        <w:t>4. Testing Methodology (11-Stage DAG Engine &amp; AI Verification)</w:t>
      </w:r>
    </w:p>
    <w:p>
      <w:pPr>
        <w:spacing w:after="40"/>
      </w:pPr>
      <w:r>
        <w:rPr>
          <w:color w:val="28323C"/>
          <w:sz w:val="19"/>
        </w:rPr>
        <w:t>5. Pricing &amp; Investment Schedule</w:t>
      </w:r>
    </w:p>
    <w:p>
      <w:pPr>
        <w:spacing w:after="40"/>
      </w:pPr>
      <w:r>
        <w:rPr>
          <w:color w:val="28323C"/>
          <w:sz w:val="19"/>
        </w:rPr>
        <w:t>6. Formal Project Deliverables</w:t>
      </w:r>
    </w:p>
    <w:p>
      <w:pPr>
        <w:spacing w:after="40"/>
      </w:pPr>
      <w:r>
        <w:rPr>
          <w:color w:val="28323C"/>
          <w:sz w:val="19"/>
        </w:rPr>
        <w:t>7. Key Personnel &amp; Founder Profile</w:t>
      </w:r>
    </w:p>
    <w:p>
      <w:pPr>
        <w:spacing w:after="40"/>
      </w:pPr>
      <w:r>
        <w:rPr>
          <w:color w:val="28323C"/>
          <w:sz w:val="19"/>
        </w:rPr>
        <w:t>8. Commercial Terms &amp; Conditions</w:t>
      </w:r>
    </w:p>
    <w:p>
      <w:pPr>
        <w:spacing w:after="40"/>
      </w:pPr>
      <w:r>
        <w:rPr>
          <w:color w:val="28323C"/>
          <w:sz w:val="19"/>
        </w:rPr>
        <w:t>9. Agreement of Work &amp; Sign-Off</w:t>
      </w:r>
    </w:p>
    <w:p/>
    <w:p>
      <w:pPr>
        <w:pStyle w:val="Heading1"/>
        <w:spacing w:before="320" w:after="160"/>
      </w:pPr>
      <w:r>
        <w:rPr>
          <w:rFonts w:ascii="Arial" w:hAnsi="Arial"/>
          <w:b/>
          <w:color w:val="050D1A"/>
          <w:sz w:val="32"/>
        </w:rPr>
        <w:t>1. Executive Summary &amp; Introduction</w:t>
      </w:r>
    </w:p>
    <w:p>
      <w:r>
        <w:rPr>
          <w:sz w:val="19"/>
        </w:rPr>
        <w:t>Force Fortitude Pty Ltd (Force Fortitude) is pleased to submit this Proposal of Works for an External Penetration Testing and Web Application Security Assessment. The objective of this engagement is to simulate real-world cyber adversary attack vectors against your organisation's public-facing perimeter infrastructure, web applications, APIs, and cloud services.</w:t>
        <w:br/>
        <w:br/>
        <w:t>Utilising our proprietary Fortive Scanner 11-stage Directed Acyclic Graph (DAG) pipeline orchestrator alongside expert manual penetration testing techniques, Force Fortitude identifies exploitable vulnerabilities, misconfigurations, and credential exposures before malicious actors can exploit them.</w:t>
      </w:r>
    </w:p>
    <w:p>
      <w:pPr>
        <w:pStyle w:val="Heading1"/>
        <w:spacing w:before="320" w:after="160"/>
      </w:pPr>
      <w:r>
        <w:rPr>
          <w:rFonts w:ascii="Arial" w:hAnsi="Arial"/>
          <w:b/>
          <w:color w:val="050D1A"/>
          <w:sz w:val="32"/>
        </w:rPr>
        <w:t>2. About Force Fortitude Pty Ltd</w:t>
      </w:r>
    </w:p>
    <w:p>
      <w:r>
        <w:rPr>
          <w:sz w:val="19"/>
        </w:rPr>
        <w:t>Force Fortitude is a 100% Australian owned and operated cybersecurity firm based in New South Wales. Founded by former Australian Defence Force (Air Force) cyber specialists, we deliver military-grade penetration testing, autonomous threat intelligence, and digital forensics scrutiny to Australian enterprise and government clients.</w:t>
        <w:br/>
        <w:br/>
        <w:t>Core Principles:</w:t>
        <w:br/>
        <w:t>• Delivery Excellence: Methodical testing using OWASP, PTES, NIST CSF, and ACSC Essential 8 frameworks.</w:t>
        <w:br/>
        <w:t>• Australian Sovereignty: 100% domestic data hosting and analysis under the Privacy Act 1988 (Cth).</w:t>
        <w:br/>
        <w:t>• Deep Technical Rigour: Combining AI automated scanning with manual exploit validation to eliminate false positives.</w:t>
      </w:r>
    </w:p>
    <w:p>
      <w:pPr>
        <w:pStyle w:val="Heading1"/>
        <w:spacing w:before="320" w:after="160"/>
      </w:pPr>
      <w:r>
        <w:rPr>
          <w:rFonts w:ascii="Arial" w:hAnsi="Arial"/>
          <w:b/>
          <w:color w:val="050D1A"/>
          <w:sz w:val="32"/>
        </w:rPr>
        <w:t>3. Scope of Works &amp; Target Inventory</w:t>
      </w:r>
    </w:p>
    <w:p>
      <w:r>
        <w:rPr>
          <w:sz w:val="19"/>
        </w:rPr>
        <w:t>The external security assessment will cover the agreed target scope outlined below:</w:t>
      </w:r>
    </w:p>
    <w:tbl>
      <w:tblPr>
        <w:tblW w:type="auto" w:w="0"/>
        <w:jc w:val="center"/>
        <w:tblLook w:firstColumn="1" w:firstRow="1" w:lastColumn="0" w:lastRow="0" w:noHBand="0" w:noVBand="1" w:val="04A0"/>
      </w:tblPr>
      <w:tblGrid>
        <w:gridCol w:w="2160"/>
        <w:gridCol w:w="2160"/>
        <w:gridCol w:w="2160"/>
        <w:gridCol w:w="2160"/>
      </w:tblGrid>
      <w:tr>
        <w:tc>
          <w:tcPr>
            <w:tcW w:type="dxa" w:w="2592"/>
            <w:shd w:fill="050D1A"/>
            <w:tcMar>
              <w:top w:w="140" w:type="dxa"/>
              <w:bottom w:w="140" w:type="dxa"/>
              <w:left w:w="160" w:type="dxa"/>
              <w:right w:w="160" w:type="dxa"/>
            </w:tcMar>
          </w:tcPr>
          <w:p>
            <w:pPr>
              <w:jc w:val="left"/>
            </w:pPr>
            <w:r>
              <w:rPr>
                <w:rFonts w:ascii="Arial" w:hAnsi="Arial"/>
                <w:b/>
                <w:color w:val="FFFFFF"/>
                <w:sz w:val="19"/>
              </w:rPr>
              <w:t>Asset Class</w:t>
            </w:r>
          </w:p>
        </w:tc>
        <w:tc>
          <w:tcPr>
            <w:tcW w:type="dxa" w:w="3600"/>
            <w:shd w:fill="050D1A"/>
            <w:tcMar>
              <w:top w:w="140" w:type="dxa"/>
              <w:bottom w:w="140" w:type="dxa"/>
              <w:left w:w="160" w:type="dxa"/>
              <w:right w:w="160" w:type="dxa"/>
            </w:tcMar>
          </w:tcPr>
          <w:p>
            <w:pPr>
              <w:jc w:val="left"/>
            </w:pPr>
            <w:r>
              <w:rPr>
                <w:rFonts w:ascii="Arial" w:hAnsi="Arial"/>
                <w:b/>
                <w:color w:val="FFFFFF"/>
                <w:sz w:val="19"/>
              </w:rPr>
              <w:t>Scope Description</w:t>
            </w:r>
          </w:p>
        </w:tc>
        <w:tc>
          <w:tcPr>
            <w:tcW w:type="dxa" w:w="1728"/>
            <w:shd w:fill="050D1A"/>
            <w:tcMar>
              <w:top w:w="140" w:type="dxa"/>
              <w:bottom w:w="140" w:type="dxa"/>
              <w:left w:w="160" w:type="dxa"/>
              <w:right w:w="160" w:type="dxa"/>
            </w:tcMar>
          </w:tcPr>
          <w:p>
            <w:pPr>
              <w:jc w:val="left"/>
            </w:pPr>
            <w:r>
              <w:rPr>
                <w:rFonts w:ascii="Arial" w:hAnsi="Arial"/>
                <w:b/>
                <w:color w:val="FFFFFF"/>
                <w:sz w:val="19"/>
              </w:rPr>
              <w:t>Testing Type</w:t>
            </w:r>
          </w:p>
        </w:tc>
        <w:tc>
          <w:tcPr>
            <w:tcW w:type="dxa" w:w="1440"/>
            <w:shd w:fill="050D1A"/>
            <w:tcMar>
              <w:top w:w="140" w:type="dxa"/>
              <w:bottom w:w="140" w:type="dxa"/>
              <w:left w:w="160" w:type="dxa"/>
              <w:right w:w="160" w:type="dxa"/>
            </w:tcMar>
          </w:tcPr>
          <w:p>
            <w:pPr>
              <w:jc w:val="left"/>
            </w:pPr>
            <w:r>
              <w:rPr>
                <w:rFonts w:ascii="Arial" w:hAnsi="Arial"/>
                <w:b/>
                <w:color w:val="FFFFFF"/>
                <w:sz w:val="19"/>
              </w:rPr>
              <w:t>Estimated Volume</w:t>
            </w:r>
          </w:p>
        </w:tc>
      </w:tr>
      <w:tr>
        <w:tc>
          <w:tcPr>
            <w:tcW w:type="dxa" w:w="2592"/>
            <w:shd w:fill="FFFFFF"/>
            <w:tcMar>
              <w:top w:w="100" w:type="dxa"/>
              <w:bottom w:w="100" w:type="dxa"/>
              <w:left w:w="140" w:type="dxa"/>
              <w:right w:w="140" w:type="dxa"/>
            </w:tcMar>
          </w:tcPr>
          <w:p>
            <w:r>
              <w:rPr>
                <w:rFonts w:ascii="Arial" w:hAnsi="Arial"/>
                <w:color w:val="1E2832"/>
                <w:sz w:val="18"/>
              </w:rPr>
              <w:t>External Network Perimeter</w:t>
            </w:r>
          </w:p>
        </w:tc>
        <w:tc>
          <w:tcPr>
            <w:tcW w:type="dxa" w:w="3600"/>
            <w:shd w:fill="FFFFFF"/>
            <w:tcMar>
              <w:top w:w="100" w:type="dxa"/>
              <w:bottom w:w="100" w:type="dxa"/>
              <w:left w:w="140" w:type="dxa"/>
              <w:right w:w="140" w:type="dxa"/>
            </w:tcMar>
          </w:tcPr>
          <w:p>
            <w:r>
              <w:rPr>
                <w:rFonts w:ascii="Arial" w:hAnsi="Arial"/>
                <w:color w:val="1E2832"/>
                <w:sz w:val="18"/>
              </w:rPr>
              <w:t>Public IP Subnets / CIDR Blocks &amp; Firewall Endpoints</w:t>
            </w:r>
          </w:p>
        </w:tc>
        <w:tc>
          <w:tcPr>
            <w:tcW w:type="dxa" w:w="1728"/>
            <w:shd w:fill="FFFFFF"/>
            <w:tcMar>
              <w:top w:w="100" w:type="dxa"/>
              <w:bottom w:w="100" w:type="dxa"/>
              <w:left w:w="140" w:type="dxa"/>
              <w:right w:w="140" w:type="dxa"/>
            </w:tcMar>
          </w:tcPr>
          <w:p>
            <w:r>
              <w:rPr>
                <w:rFonts w:ascii="Arial" w:hAnsi="Arial"/>
                <w:color w:val="1E2832"/>
                <w:sz w:val="18"/>
              </w:rPr>
              <w:t>Grey-Box Network Scan</w:t>
            </w:r>
          </w:p>
        </w:tc>
        <w:tc>
          <w:tcPr>
            <w:tcW w:type="dxa" w:w="1440"/>
            <w:shd w:fill="FFFFFF"/>
            <w:tcMar>
              <w:top w:w="100" w:type="dxa"/>
              <w:bottom w:w="100" w:type="dxa"/>
              <w:left w:w="140" w:type="dxa"/>
              <w:right w:w="140" w:type="dxa"/>
            </w:tcMar>
          </w:tcPr>
          <w:p>
            <w:r>
              <w:rPr>
                <w:rFonts w:ascii="Arial" w:hAnsi="Arial"/>
                <w:color w:val="1E2832"/>
                <w:sz w:val="18"/>
              </w:rPr>
              <w:t>1 x /24 Subnet (31 Live Hosts)</w:t>
            </w:r>
          </w:p>
        </w:tc>
      </w:tr>
      <w:tr>
        <w:tc>
          <w:tcPr>
            <w:tcW w:type="dxa" w:w="2592"/>
            <w:shd w:fill="F0F4F8"/>
            <w:tcMar>
              <w:top w:w="100" w:type="dxa"/>
              <w:bottom w:w="100" w:type="dxa"/>
              <w:left w:w="140" w:type="dxa"/>
              <w:right w:w="140" w:type="dxa"/>
            </w:tcMar>
          </w:tcPr>
          <w:p>
            <w:r>
              <w:rPr>
                <w:rFonts w:ascii="Arial" w:hAnsi="Arial"/>
                <w:color w:val="1E2832"/>
                <w:sz w:val="18"/>
              </w:rPr>
              <w:t>Web Applications</w:t>
            </w:r>
          </w:p>
        </w:tc>
        <w:tc>
          <w:tcPr>
            <w:tcW w:type="dxa" w:w="3600"/>
            <w:shd w:fill="F0F4F8"/>
            <w:tcMar>
              <w:top w:w="100" w:type="dxa"/>
              <w:bottom w:w="100" w:type="dxa"/>
              <w:left w:w="140" w:type="dxa"/>
              <w:right w:w="140" w:type="dxa"/>
            </w:tcMar>
          </w:tcPr>
          <w:p>
            <w:r>
              <w:rPr>
                <w:rFonts w:ascii="Arial" w:hAnsi="Arial"/>
                <w:color w:val="1E2832"/>
                <w:sz w:val="18"/>
              </w:rPr>
              <w:t>Customer Portals, Admin Panels &amp; E-Commerce Endpoints</w:t>
            </w:r>
          </w:p>
        </w:tc>
        <w:tc>
          <w:tcPr>
            <w:tcW w:type="dxa" w:w="1728"/>
            <w:shd w:fill="F0F4F8"/>
            <w:tcMar>
              <w:top w:w="100" w:type="dxa"/>
              <w:bottom w:w="100" w:type="dxa"/>
              <w:left w:w="140" w:type="dxa"/>
              <w:right w:w="140" w:type="dxa"/>
            </w:tcMar>
          </w:tcPr>
          <w:p>
            <w:r>
              <w:rPr>
                <w:rFonts w:ascii="Arial" w:hAnsi="Arial"/>
                <w:color w:val="1E2832"/>
                <w:sz w:val="18"/>
              </w:rPr>
              <w:t>OWASP Top 10 Authenticated</w:t>
            </w:r>
          </w:p>
        </w:tc>
        <w:tc>
          <w:tcPr>
            <w:tcW w:type="dxa" w:w="1440"/>
            <w:shd w:fill="F0F4F8"/>
            <w:tcMar>
              <w:top w:w="100" w:type="dxa"/>
              <w:bottom w:w="100" w:type="dxa"/>
              <w:left w:w="140" w:type="dxa"/>
              <w:right w:w="140" w:type="dxa"/>
            </w:tcMar>
          </w:tcPr>
          <w:p>
            <w:r>
              <w:rPr>
                <w:rFonts w:ascii="Arial" w:hAnsi="Arial"/>
                <w:color w:val="1E2832"/>
                <w:sz w:val="18"/>
              </w:rPr>
              <w:t>2 Primary Applications</w:t>
            </w:r>
          </w:p>
        </w:tc>
      </w:tr>
      <w:tr>
        <w:tc>
          <w:tcPr>
            <w:tcW w:type="dxa" w:w="2592"/>
            <w:shd w:fill="FFFFFF"/>
            <w:tcMar>
              <w:top w:w="100" w:type="dxa"/>
              <w:bottom w:w="100" w:type="dxa"/>
              <w:left w:w="140" w:type="dxa"/>
              <w:right w:w="140" w:type="dxa"/>
            </w:tcMar>
          </w:tcPr>
          <w:p>
            <w:r>
              <w:rPr>
                <w:rFonts w:ascii="Arial" w:hAnsi="Arial"/>
                <w:color w:val="1E2832"/>
                <w:sz w:val="18"/>
              </w:rPr>
              <w:t>REST / GraphQL APIs</w:t>
            </w:r>
          </w:p>
        </w:tc>
        <w:tc>
          <w:tcPr>
            <w:tcW w:type="dxa" w:w="3600"/>
            <w:shd w:fill="FFFFFF"/>
            <w:tcMar>
              <w:top w:w="100" w:type="dxa"/>
              <w:bottom w:w="100" w:type="dxa"/>
              <w:left w:w="140" w:type="dxa"/>
              <w:right w:w="140" w:type="dxa"/>
            </w:tcMar>
          </w:tcPr>
          <w:p>
            <w:r>
              <w:rPr>
                <w:rFonts w:ascii="Arial" w:hAnsi="Arial"/>
                <w:color w:val="1E2832"/>
                <w:sz w:val="18"/>
              </w:rPr>
              <w:t>API Gateways, Authentication Handlers &amp; Endpoints</w:t>
            </w:r>
          </w:p>
        </w:tc>
        <w:tc>
          <w:tcPr>
            <w:tcW w:type="dxa" w:w="1728"/>
            <w:shd w:fill="FFFFFF"/>
            <w:tcMar>
              <w:top w:w="100" w:type="dxa"/>
              <w:bottom w:w="100" w:type="dxa"/>
              <w:left w:w="140" w:type="dxa"/>
              <w:right w:w="140" w:type="dxa"/>
            </w:tcMar>
          </w:tcPr>
          <w:p>
            <w:r>
              <w:rPr>
                <w:rFonts w:ascii="Arial" w:hAnsi="Arial"/>
                <w:color w:val="1E2832"/>
                <w:sz w:val="18"/>
              </w:rPr>
              <w:t>OWASP API Top 10 Testing</w:t>
            </w:r>
          </w:p>
        </w:tc>
        <w:tc>
          <w:tcPr>
            <w:tcW w:type="dxa" w:w="1440"/>
            <w:shd w:fill="FFFFFF"/>
            <w:tcMar>
              <w:top w:w="100" w:type="dxa"/>
              <w:bottom w:w="100" w:type="dxa"/>
              <w:left w:w="140" w:type="dxa"/>
              <w:right w:w="140" w:type="dxa"/>
            </w:tcMar>
          </w:tcPr>
          <w:p>
            <w:r>
              <w:rPr>
                <w:rFonts w:ascii="Arial" w:hAnsi="Arial"/>
                <w:color w:val="1E2832"/>
                <w:sz w:val="18"/>
              </w:rPr>
              <w:t>Up to 25 Endpoints</w:t>
            </w:r>
          </w:p>
        </w:tc>
      </w:tr>
      <w:tr>
        <w:tc>
          <w:tcPr>
            <w:tcW w:type="dxa" w:w="2592"/>
            <w:shd w:fill="F0F4F8"/>
            <w:tcMar>
              <w:top w:w="100" w:type="dxa"/>
              <w:bottom w:w="100" w:type="dxa"/>
              <w:left w:w="140" w:type="dxa"/>
              <w:right w:w="140" w:type="dxa"/>
            </w:tcMar>
          </w:tcPr>
          <w:p>
            <w:r>
              <w:rPr>
                <w:rFonts w:ascii="Arial" w:hAnsi="Arial"/>
                <w:color w:val="1E2832"/>
                <w:sz w:val="18"/>
              </w:rPr>
              <w:t>Cloud Infrastructure</w:t>
            </w:r>
          </w:p>
        </w:tc>
        <w:tc>
          <w:tcPr>
            <w:tcW w:type="dxa" w:w="3600"/>
            <w:shd w:fill="F0F4F8"/>
            <w:tcMar>
              <w:top w:w="100" w:type="dxa"/>
              <w:bottom w:w="100" w:type="dxa"/>
              <w:left w:w="140" w:type="dxa"/>
              <w:right w:w="140" w:type="dxa"/>
            </w:tcMar>
          </w:tcPr>
          <w:p>
            <w:r>
              <w:rPr>
                <w:rFonts w:ascii="Arial" w:hAnsi="Arial"/>
                <w:color w:val="1E2832"/>
                <w:sz w:val="18"/>
              </w:rPr>
              <w:t>AWS / Azure External Storage &amp; Identity Perimeter</w:t>
            </w:r>
          </w:p>
        </w:tc>
        <w:tc>
          <w:tcPr>
            <w:tcW w:type="dxa" w:w="1728"/>
            <w:shd w:fill="F0F4F8"/>
            <w:tcMar>
              <w:top w:w="100" w:type="dxa"/>
              <w:bottom w:w="100" w:type="dxa"/>
              <w:left w:w="140" w:type="dxa"/>
              <w:right w:w="140" w:type="dxa"/>
            </w:tcMar>
          </w:tcPr>
          <w:p>
            <w:r>
              <w:rPr>
                <w:rFonts w:ascii="Arial" w:hAnsi="Arial"/>
                <w:color w:val="1E2832"/>
                <w:sz w:val="18"/>
              </w:rPr>
              <w:t>Cloud Security Audit</w:t>
            </w:r>
          </w:p>
        </w:tc>
        <w:tc>
          <w:tcPr>
            <w:tcW w:type="dxa" w:w="1440"/>
            <w:shd w:fill="F0F4F8"/>
            <w:tcMar>
              <w:top w:w="100" w:type="dxa"/>
              <w:bottom w:w="100" w:type="dxa"/>
              <w:left w:w="140" w:type="dxa"/>
              <w:right w:w="140" w:type="dxa"/>
            </w:tcMar>
          </w:tcPr>
          <w:p>
            <w:r>
              <w:rPr>
                <w:rFonts w:ascii="Arial" w:hAnsi="Arial"/>
                <w:color w:val="1E2832"/>
                <w:sz w:val="18"/>
              </w:rPr>
              <w:t>1 Cloud Environment</w:t>
            </w:r>
          </w:p>
        </w:tc>
      </w:tr>
    </w:tbl>
    <w:p/>
    <w:p>
      <w:pPr>
        <w:pStyle w:val="Heading1"/>
        <w:spacing w:before="320" w:after="160"/>
      </w:pPr>
      <w:r>
        <w:rPr>
          <w:rFonts w:ascii="Arial" w:hAnsi="Arial"/>
          <w:b/>
          <w:color w:val="050D1A"/>
          <w:sz w:val="32"/>
        </w:rPr>
        <w:t>4. Testing Methodology</w:t>
      </w:r>
    </w:p>
    <w:p>
      <w:r>
        <w:rPr>
          <w:sz w:val="19"/>
        </w:rPr>
        <w:t>Our External Penetration Testing methodology integrates automated intelligence with deep manual exploitation across five distinct phases:</w:t>
        <w:br/>
        <w:br/>
        <w:t>1. Passive OSINT &amp; Reconnaissance: Subdomain discovery (subfinder, crt.sh, dnsx), WHOIS parsing, certificate transparency analysis, and dark web credential exposure checks.</w:t>
        <w:br/>
        <w:t>2. Active Crawling &amp; Tech Fingerprinting: Web crawling (katana, hakrawler, gowitness), JavaScript deep bundle parsing (js_parser_engine) to extract hidden endpoints, and directory fuzzing (ffuf).</w:t>
        <w:br/>
        <w:t>3. Vulnerability Analysis &amp; Threat Modelling: OWASP Top 10 testing for SQL Injection, Cross-Site Scripting (XSS), SSRF, IDOR, Broken Authentication, and API logic flaws.</w:t>
        <w:br/>
        <w:t>4. AI Verification &amp; Exploitation: AI Playwright browser verification agent (browser_agent.py) executing dynamic DOM-level payload proof-of-concepts to validate exploitation without false positives.</w:t>
        <w:br/>
        <w:t>5. Post-Exploitation &amp; Risk Scoring: Assessing business impact, data exfiltration exposure, and compiling CVSS v3.1 risk scores.</w:t>
      </w:r>
    </w:p>
    <w:p>
      <w:pPr>
        <w:pStyle w:val="Heading1"/>
        <w:spacing w:before="320" w:after="160"/>
      </w:pPr>
      <w:r>
        <w:rPr>
          <w:rFonts w:ascii="Arial" w:hAnsi="Arial"/>
          <w:b/>
          <w:color w:val="050D1A"/>
          <w:sz w:val="32"/>
        </w:rPr>
        <w:t>5. Pricing &amp; Investment Schedule</w:t>
      </w:r>
    </w:p>
    <w:tbl>
      <w:tblPr>
        <w:tblW w:type="auto" w:w="0"/>
        <w:jc w:val="center"/>
        <w:tblLook w:firstColumn="1" w:firstRow="1" w:lastColumn="0" w:lastRow="0" w:noHBand="0" w:noVBand="1" w:val="04A0"/>
      </w:tblPr>
      <w:tblGrid>
        <w:gridCol w:w="2160"/>
        <w:gridCol w:w="2160"/>
        <w:gridCol w:w="2160"/>
        <w:gridCol w:w="2160"/>
      </w:tblGrid>
      <w:tr>
        <w:tc>
          <w:tcPr>
            <w:tcW w:type="dxa" w:w="4032"/>
            <w:shd w:fill="050D1A"/>
            <w:tcMar>
              <w:top w:w="140" w:type="dxa"/>
              <w:bottom w:w="140" w:type="dxa"/>
              <w:left w:w="160" w:type="dxa"/>
              <w:right w:w="160" w:type="dxa"/>
            </w:tcMar>
          </w:tcPr>
          <w:p>
            <w:pPr>
              <w:jc w:val="left"/>
            </w:pPr>
            <w:r>
              <w:rPr>
                <w:rFonts w:ascii="Arial" w:hAnsi="Arial"/>
                <w:b/>
                <w:color w:val="FFFFFF"/>
                <w:sz w:val="19"/>
              </w:rPr>
              <w:t>Service Component</w:t>
            </w:r>
          </w:p>
        </w:tc>
        <w:tc>
          <w:tcPr>
            <w:tcW w:type="dxa" w:w="1440"/>
            <w:shd w:fill="050D1A"/>
            <w:tcMar>
              <w:top w:w="140" w:type="dxa"/>
              <w:bottom w:w="140" w:type="dxa"/>
              <w:left w:w="160" w:type="dxa"/>
              <w:right w:w="160" w:type="dxa"/>
            </w:tcMar>
          </w:tcPr>
          <w:p>
            <w:pPr>
              <w:jc w:val="left"/>
            </w:pPr>
            <w:r>
              <w:rPr>
                <w:rFonts w:ascii="Arial" w:hAnsi="Arial"/>
                <w:b/>
                <w:color w:val="FFFFFF"/>
                <w:sz w:val="19"/>
              </w:rPr>
              <w:t>Duration</w:t>
            </w:r>
          </w:p>
        </w:tc>
        <w:tc>
          <w:tcPr>
            <w:tcW w:type="dxa" w:w="1872"/>
            <w:shd w:fill="050D1A"/>
            <w:tcMar>
              <w:top w:w="140" w:type="dxa"/>
              <w:bottom w:w="140" w:type="dxa"/>
              <w:left w:w="160" w:type="dxa"/>
              <w:right w:w="160" w:type="dxa"/>
            </w:tcMar>
          </w:tcPr>
          <w:p>
            <w:pPr>
              <w:jc w:val="left"/>
            </w:pPr>
            <w:r>
              <w:rPr>
                <w:rFonts w:ascii="Arial" w:hAnsi="Arial"/>
                <w:b/>
                <w:color w:val="FFFFFF"/>
                <w:sz w:val="19"/>
              </w:rPr>
              <w:t>Daily Rate (ex-GST)</w:t>
            </w:r>
          </w:p>
        </w:tc>
        <w:tc>
          <w:tcPr>
            <w:tcW w:type="dxa" w:w="2016"/>
            <w:shd w:fill="050D1A"/>
            <w:tcMar>
              <w:top w:w="140" w:type="dxa"/>
              <w:bottom w:w="140" w:type="dxa"/>
              <w:left w:w="160" w:type="dxa"/>
              <w:right w:w="160" w:type="dxa"/>
            </w:tcMar>
          </w:tcPr>
          <w:p>
            <w:pPr>
              <w:jc w:val="left"/>
            </w:pPr>
            <w:r>
              <w:rPr>
                <w:rFonts w:ascii="Arial" w:hAnsi="Arial"/>
                <w:b/>
                <w:color w:val="FFFFFF"/>
                <w:sz w:val="19"/>
              </w:rPr>
              <w:t>Total Price (ex-GST)</w:t>
            </w:r>
          </w:p>
        </w:tc>
      </w:tr>
      <w:tr>
        <w:tc>
          <w:tcPr>
            <w:tcW w:type="dxa" w:w="4032"/>
            <w:shd w:fill="FFFFFF"/>
            <w:tcMar>
              <w:top w:w="100" w:type="dxa"/>
              <w:bottom w:w="100" w:type="dxa"/>
              <w:left w:w="140" w:type="dxa"/>
              <w:right w:w="140" w:type="dxa"/>
            </w:tcMar>
          </w:tcPr>
          <w:p>
            <w:r>
              <w:rPr>
                <w:rFonts w:ascii="Arial" w:hAnsi="Arial"/>
                <w:color w:val="1E2832"/>
                <w:sz w:val="18"/>
              </w:rPr>
              <w:t>External Perimeter &amp; Network Reconnaissance</w:t>
            </w:r>
          </w:p>
        </w:tc>
        <w:tc>
          <w:tcPr>
            <w:tcW w:type="dxa" w:w="1440"/>
            <w:shd w:fill="FFFFFF"/>
            <w:tcMar>
              <w:top w:w="100" w:type="dxa"/>
              <w:bottom w:w="100" w:type="dxa"/>
              <w:left w:w="140" w:type="dxa"/>
              <w:right w:w="140" w:type="dxa"/>
            </w:tcMar>
          </w:tcPr>
          <w:p>
            <w:r>
              <w:rPr>
                <w:rFonts w:ascii="Arial" w:hAnsi="Arial"/>
                <w:color w:val="1E2832"/>
                <w:sz w:val="18"/>
              </w:rPr>
              <w:t>2 Days</w:t>
            </w:r>
          </w:p>
        </w:tc>
        <w:tc>
          <w:tcPr>
            <w:tcW w:type="dxa" w:w="1872"/>
            <w:shd w:fill="FFFFFF"/>
            <w:tcMar>
              <w:top w:w="100" w:type="dxa"/>
              <w:bottom w:w="100" w:type="dxa"/>
              <w:left w:w="140" w:type="dxa"/>
              <w:right w:w="140" w:type="dxa"/>
            </w:tcMar>
          </w:tcPr>
          <w:p>
            <w:r>
              <w:rPr>
                <w:rFonts w:ascii="Arial" w:hAnsi="Arial"/>
                <w:color w:val="1E2832"/>
                <w:sz w:val="18"/>
              </w:rPr>
              <w:t>$1,600</w:t>
            </w:r>
          </w:p>
        </w:tc>
        <w:tc>
          <w:tcPr>
            <w:tcW w:type="dxa" w:w="2016"/>
            <w:shd w:fill="FFFFFF"/>
            <w:tcMar>
              <w:top w:w="100" w:type="dxa"/>
              <w:bottom w:w="100" w:type="dxa"/>
              <w:left w:w="140" w:type="dxa"/>
              <w:right w:w="140" w:type="dxa"/>
            </w:tcMar>
          </w:tcPr>
          <w:p>
            <w:r>
              <w:rPr>
                <w:rFonts w:ascii="Arial" w:hAnsi="Arial"/>
                <w:color w:val="1E2832"/>
                <w:sz w:val="18"/>
              </w:rPr>
              <w:t>$3,200</w:t>
            </w:r>
          </w:p>
        </w:tc>
      </w:tr>
      <w:tr>
        <w:tc>
          <w:tcPr>
            <w:tcW w:type="dxa" w:w="4032"/>
            <w:shd w:fill="F0F4F8"/>
            <w:tcMar>
              <w:top w:w="100" w:type="dxa"/>
              <w:bottom w:w="100" w:type="dxa"/>
              <w:left w:w="140" w:type="dxa"/>
              <w:right w:w="140" w:type="dxa"/>
            </w:tcMar>
          </w:tcPr>
          <w:p>
            <w:r>
              <w:rPr>
                <w:rFonts w:ascii="Arial" w:hAnsi="Arial"/>
                <w:color w:val="1E2832"/>
                <w:sz w:val="18"/>
              </w:rPr>
              <w:t>Web Application &amp; API Penetration Testing</w:t>
            </w:r>
          </w:p>
        </w:tc>
        <w:tc>
          <w:tcPr>
            <w:tcW w:type="dxa" w:w="1440"/>
            <w:shd w:fill="F0F4F8"/>
            <w:tcMar>
              <w:top w:w="100" w:type="dxa"/>
              <w:bottom w:w="100" w:type="dxa"/>
              <w:left w:w="140" w:type="dxa"/>
              <w:right w:w="140" w:type="dxa"/>
            </w:tcMar>
          </w:tcPr>
          <w:p>
            <w:r>
              <w:rPr>
                <w:rFonts w:ascii="Arial" w:hAnsi="Arial"/>
                <w:color w:val="1E2832"/>
                <w:sz w:val="18"/>
              </w:rPr>
              <w:t>3 Days</w:t>
            </w:r>
          </w:p>
        </w:tc>
        <w:tc>
          <w:tcPr>
            <w:tcW w:type="dxa" w:w="1872"/>
            <w:shd w:fill="F0F4F8"/>
            <w:tcMar>
              <w:top w:w="100" w:type="dxa"/>
              <w:bottom w:w="100" w:type="dxa"/>
              <w:left w:w="140" w:type="dxa"/>
              <w:right w:w="140" w:type="dxa"/>
            </w:tcMar>
          </w:tcPr>
          <w:p>
            <w:r>
              <w:rPr>
                <w:rFonts w:ascii="Arial" w:hAnsi="Arial"/>
                <w:color w:val="1E2832"/>
                <w:sz w:val="18"/>
              </w:rPr>
              <w:t>$1,600</w:t>
            </w:r>
          </w:p>
        </w:tc>
        <w:tc>
          <w:tcPr>
            <w:tcW w:type="dxa" w:w="2016"/>
            <w:shd w:fill="F0F4F8"/>
            <w:tcMar>
              <w:top w:w="100" w:type="dxa"/>
              <w:bottom w:w="100" w:type="dxa"/>
              <w:left w:w="140" w:type="dxa"/>
              <w:right w:w="140" w:type="dxa"/>
            </w:tcMar>
          </w:tcPr>
          <w:p>
            <w:r>
              <w:rPr>
                <w:rFonts w:ascii="Arial" w:hAnsi="Arial"/>
                <w:color w:val="1E2832"/>
                <w:sz w:val="18"/>
              </w:rPr>
              <w:t>$4,800</w:t>
            </w:r>
          </w:p>
        </w:tc>
      </w:tr>
      <w:tr>
        <w:tc>
          <w:tcPr>
            <w:tcW w:type="dxa" w:w="4032"/>
            <w:shd w:fill="FFFFFF"/>
            <w:tcMar>
              <w:top w:w="100" w:type="dxa"/>
              <w:bottom w:w="100" w:type="dxa"/>
              <w:left w:w="140" w:type="dxa"/>
              <w:right w:w="140" w:type="dxa"/>
            </w:tcMar>
          </w:tcPr>
          <w:p>
            <w:r>
              <w:rPr>
                <w:rFonts w:ascii="Arial" w:hAnsi="Arial"/>
                <w:color w:val="1E2832"/>
                <w:sz w:val="18"/>
              </w:rPr>
              <w:t>AI Verification &amp; Report Compilation</w:t>
            </w:r>
          </w:p>
        </w:tc>
        <w:tc>
          <w:tcPr>
            <w:tcW w:type="dxa" w:w="1440"/>
            <w:shd w:fill="FFFFFF"/>
            <w:tcMar>
              <w:top w:w="100" w:type="dxa"/>
              <w:bottom w:w="100" w:type="dxa"/>
              <w:left w:w="140" w:type="dxa"/>
              <w:right w:w="140" w:type="dxa"/>
            </w:tcMar>
          </w:tcPr>
          <w:p>
            <w:r>
              <w:rPr>
                <w:rFonts w:ascii="Arial" w:hAnsi="Arial"/>
                <w:color w:val="1E2832"/>
                <w:sz w:val="18"/>
              </w:rPr>
              <w:t>1 Day</w:t>
            </w:r>
          </w:p>
        </w:tc>
        <w:tc>
          <w:tcPr>
            <w:tcW w:type="dxa" w:w="1872"/>
            <w:shd w:fill="FFFFFF"/>
            <w:tcMar>
              <w:top w:w="100" w:type="dxa"/>
              <w:bottom w:w="100" w:type="dxa"/>
              <w:left w:w="140" w:type="dxa"/>
              <w:right w:w="140" w:type="dxa"/>
            </w:tcMar>
          </w:tcPr>
          <w:p>
            <w:r>
              <w:rPr>
                <w:rFonts w:ascii="Arial" w:hAnsi="Arial"/>
                <w:color w:val="1E2832"/>
                <w:sz w:val="18"/>
              </w:rPr>
              <w:t>$1,600</w:t>
            </w:r>
          </w:p>
        </w:tc>
        <w:tc>
          <w:tcPr>
            <w:tcW w:type="dxa" w:w="2016"/>
            <w:shd w:fill="FFFFFF"/>
            <w:tcMar>
              <w:top w:w="100" w:type="dxa"/>
              <w:bottom w:w="100" w:type="dxa"/>
              <w:left w:w="140" w:type="dxa"/>
              <w:right w:w="140" w:type="dxa"/>
            </w:tcMar>
          </w:tcPr>
          <w:p>
            <w:r>
              <w:rPr>
                <w:rFonts w:ascii="Arial" w:hAnsi="Arial"/>
                <w:color w:val="1E2832"/>
                <w:sz w:val="18"/>
              </w:rPr>
              <w:t>$1,600</w:t>
            </w:r>
          </w:p>
        </w:tc>
      </w:tr>
      <w:tr>
        <w:tc>
          <w:tcPr>
            <w:tcW w:type="dxa" w:w="4032"/>
            <w:shd w:fill="F0F4F8"/>
            <w:tcMar>
              <w:top w:w="100" w:type="dxa"/>
              <w:bottom w:w="100" w:type="dxa"/>
              <w:left w:w="140" w:type="dxa"/>
              <w:right w:w="140" w:type="dxa"/>
            </w:tcMar>
          </w:tcPr>
          <w:p>
            <w:r>
              <w:rPr>
                <w:rFonts w:ascii="Arial" w:hAnsi="Arial"/>
                <w:color w:val="1E2832"/>
                <w:sz w:val="18"/>
              </w:rPr>
              <w:t>TOTAL INVESTMENT</w:t>
            </w:r>
          </w:p>
        </w:tc>
        <w:tc>
          <w:tcPr>
            <w:tcW w:type="dxa" w:w="1440"/>
            <w:shd w:fill="F0F4F8"/>
            <w:tcMar>
              <w:top w:w="100" w:type="dxa"/>
              <w:bottom w:w="100" w:type="dxa"/>
              <w:left w:w="140" w:type="dxa"/>
              <w:right w:w="140" w:type="dxa"/>
            </w:tcMar>
          </w:tcPr>
          <w:p>
            <w:r>
              <w:rPr>
                <w:rFonts w:ascii="Arial" w:hAnsi="Arial"/>
                <w:color w:val="1E2832"/>
                <w:sz w:val="18"/>
              </w:rPr>
              <w:t>6 Days</w:t>
            </w:r>
          </w:p>
        </w:tc>
        <w:tc>
          <w:tcPr>
            <w:tcW w:type="dxa" w:w="1872"/>
            <w:shd w:fill="F0F4F8"/>
            <w:tcMar>
              <w:top w:w="100" w:type="dxa"/>
              <w:bottom w:w="100" w:type="dxa"/>
              <w:left w:w="140" w:type="dxa"/>
              <w:right w:w="140" w:type="dxa"/>
            </w:tcMar>
          </w:tcPr>
          <w:p>
            <w:r>
              <w:rPr>
                <w:rFonts w:ascii="Arial" w:hAnsi="Arial"/>
                <w:color w:val="1E2832"/>
                <w:sz w:val="18"/>
              </w:rPr>
              <w:t>-</w:t>
            </w:r>
          </w:p>
        </w:tc>
        <w:tc>
          <w:tcPr>
            <w:tcW w:type="dxa" w:w="2016"/>
            <w:shd w:fill="F0F4F8"/>
            <w:tcMar>
              <w:top w:w="100" w:type="dxa"/>
              <w:bottom w:w="100" w:type="dxa"/>
              <w:left w:w="140" w:type="dxa"/>
              <w:right w:w="140" w:type="dxa"/>
            </w:tcMar>
          </w:tcPr>
          <w:p>
            <w:r>
              <w:rPr>
                <w:rFonts w:ascii="Arial" w:hAnsi="Arial"/>
                <w:color w:val="1E2832"/>
                <w:sz w:val="18"/>
              </w:rPr>
              <w:t>$9,600 AUD</w:t>
            </w:r>
          </w:p>
        </w:tc>
      </w:tr>
      <w:tr>
        <w:tc>
          <w:tcPr>
            <w:tcW w:type="dxa" w:w="4032"/>
            <w:shd w:fill="FFFFFF"/>
            <w:tcMar>
              <w:top w:w="100" w:type="dxa"/>
              <w:bottom w:w="100" w:type="dxa"/>
              <w:left w:w="140" w:type="dxa"/>
              <w:right w:w="140" w:type="dxa"/>
            </w:tcMar>
          </w:tcPr>
          <w:p>
            <w:r>
              <w:rPr>
                <w:rFonts w:ascii="Arial" w:hAnsi="Arial"/>
                <w:color w:val="1E2832"/>
                <w:sz w:val="18"/>
              </w:rPr>
              <w:t>GST (10%)</w:t>
            </w:r>
          </w:p>
        </w:tc>
        <w:tc>
          <w:tcPr>
            <w:tcW w:type="dxa" w:w="1440"/>
            <w:shd w:fill="FFFFFF"/>
            <w:tcMar>
              <w:top w:w="100" w:type="dxa"/>
              <w:bottom w:w="100" w:type="dxa"/>
              <w:left w:w="140" w:type="dxa"/>
              <w:right w:w="140" w:type="dxa"/>
            </w:tcMar>
          </w:tcPr>
          <w:p>
            <w:r>
              <w:rPr>
                <w:rFonts w:ascii="Arial" w:hAnsi="Arial"/>
                <w:color w:val="1E2832"/>
                <w:sz w:val="18"/>
              </w:rPr>
              <w:t>-</w:t>
            </w:r>
          </w:p>
        </w:tc>
        <w:tc>
          <w:tcPr>
            <w:tcW w:type="dxa" w:w="1872"/>
            <w:shd w:fill="FFFFFF"/>
            <w:tcMar>
              <w:top w:w="100" w:type="dxa"/>
              <w:bottom w:w="100" w:type="dxa"/>
              <w:left w:w="140" w:type="dxa"/>
              <w:right w:w="140" w:type="dxa"/>
            </w:tcMar>
          </w:tcPr>
          <w:p>
            <w:r>
              <w:rPr>
                <w:rFonts w:ascii="Arial" w:hAnsi="Arial"/>
                <w:color w:val="1E2832"/>
                <w:sz w:val="18"/>
              </w:rPr>
              <w:t>-</w:t>
            </w:r>
          </w:p>
        </w:tc>
        <w:tc>
          <w:tcPr>
            <w:tcW w:type="dxa" w:w="2016"/>
            <w:shd w:fill="FFFFFF"/>
            <w:tcMar>
              <w:top w:w="100" w:type="dxa"/>
              <w:bottom w:w="100" w:type="dxa"/>
              <w:left w:w="140" w:type="dxa"/>
              <w:right w:w="140" w:type="dxa"/>
            </w:tcMar>
          </w:tcPr>
          <w:p>
            <w:r>
              <w:rPr>
                <w:rFonts w:ascii="Arial" w:hAnsi="Arial"/>
                <w:color w:val="1E2832"/>
                <w:sz w:val="18"/>
              </w:rPr>
              <w:t>$960 AUD</w:t>
            </w:r>
          </w:p>
        </w:tc>
      </w:tr>
      <w:tr>
        <w:tc>
          <w:tcPr>
            <w:tcW w:type="dxa" w:w="4032"/>
            <w:shd w:fill="F0F4F8"/>
            <w:tcMar>
              <w:top w:w="100" w:type="dxa"/>
              <w:bottom w:w="100" w:type="dxa"/>
              <w:left w:w="140" w:type="dxa"/>
              <w:right w:w="140" w:type="dxa"/>
            </w:tcMar>
          </w:tcPr>
          <w:p>
            <w:r>
              <w:rPr>
                <w:rFonts w:ascii="Arial" w:hAnsi="Arial"/>
                <w:color w:val="1E2832"/>
                <w:sz w:val="18"/>
              </w:rPr>
              <w:t>TOTAL INCLUDING GST</w:t>
            </w:r>
          </w:p>
        </w:tc>
        <w:tc>
          <w:tcPr>
            <w:tcW w:type="dxa" w:w="1440"/>
            <w:shd w:fill="F0F4F8"/>
            <w:tcMar>
              <w:top w:w="100" w:type="dxa"/>
              <w:bottom w:w="100" w:type="dxa"/>
              <w:left w:w="140" w:type="dxa"/>
              <w:right w:w="140" w:type="dxa"/>
            </w:tcMar>
          </w:tcPr>
          <w:p>
            <w:r>
              <w:rPr>
                <w:rFonts w:ascii="Arial" w:hAnsi="Arial"/>
                <w:color w:val="1E2832"/>
                <w:sz w:val="18"/>
              </w:rPr>
              <w:t>6 Days</w:t>
            </w:r>
          </w:p>
        </w:tc>
        <w:tc>
          <w:tcPr>
            <w:tcW w:type="dxa" w:w="1872"/>
            <w:shd w:fill="F0F4F8"/>
            <w:tcMar>
              <w:top w:w="100" w:type="dxa"/>
              <w:bottom w:w="100" w:type="dxa"/>
              <w:left w:w="140" w:type="dxa"/>
              <w:right w:w="140" w:type="dxa"/>
            </w:tcMar>
          </w:tcPr>
          <w:p>
            <w:r>
              <w:rPr>
                <w:rFonts w:ascii="Arial" w:hAnsi="Arial"/>
                <w:color w:val="1E2832"/>
                <w:sz w:val="18"/>
              </w:rPr>
              <w:t>-</w:t>
            </w:r>
          </w:p>
        </w:tc>
        <w:tc>
          <w:tcPr>
            <w:tcW w:type="dxa" w:w="2016"/>
            <w:shd w:fill="F0F4F8"/>
            <w:tcMar>
              <w:top w:w="100" w:type="dxa"/>
              <w:bottom w:w="100" w:type="dxa"/>
              <w:left w:w="140" w:type="dxa"/>
              <w:right w:w="140" w:type="dxa"/>
            </w:tcMar>
          </w:tcPr>
          <w:p>
            <w:r>
              <w:rPr>
                <w:rFonts w:ascii="Arial" w:hAnsi="Arial"/>
                <w:color w:val="1E2832"/>
                <w:sz w:val="18"/>
              </w:rPr>
              <w:t>$10,560 AUD</w:t>
            </w:r>
          </w:p>
        </w:tc>
      </w:tr>
    </w:tbl>
    <w:p/>
    <w:p>
      <w:pPr>
        <w:pStyle w:val="Heading1"/>
        <w:spacing w:before="320" w:after="160"/>
      </w:pPr>
      <w:r>
        <w:rPr>
          <w:rFonts w:ascii="Arial" w:hAnsi="Arial"/>
          <w:b/>
          <w:color w:val="050D1A"/>
          <w:sz w:val="32"/>
        </w:rPr>
        <w:t>6. Formal Project Deliverables</w:t>
      </w:r>
    </w:p>
    <w:p>
      <w:r>
        <w:rPr>
          <w:sz w:val="19"/>
        </w:rPr>
        <w:t>Upon completion of testing, Force Fortitude will deliver a comprehensive security reporting package:</w:t>
        <w:br/>
        <w:br/>
        <w:t>• Executive Summary Report: Plain-English business risk breakdown, overall posture rating, and strategic executive recommendations.</w:t>
        <w:br/>
        <w:t>• Detailed Technical Findings Report: Step-by-step reproduction walkthroughs, proof-of-concept evidence screenshots, affected URL/IP assets, and remediation code snippets.</w:t>
        <w:br/>
        <w:t>• SARIF 2.1.0 Data Export: Developer-ready SARIF data file for integration into GitHub Actions and CI/CD security dashboards.</w:t>
        <w:br/>
        <w:t>• Verification Retest &amp; Closeout Presentation: Complementary re-testing of verified remediation fixes within 30 days of report delivery.</w:t>
      </w:r>
    </w:p>
    <w:p>
      <w:pPr>
        <w:pStyle w:val="Heading1"/>
        <w:spacing w:before="320" w:after="160"/>
      </w:pPr>
      <w:r>
        <w:rPr>
          <w:rFonts w:ascii="Arial" w:hAnsi="Arial"/>
          <w:b/>
          <w:color w:val="050D1A"/>
          <w:sz w:val="32"/>
        </w:rPr>
        <w:t>7. Key Personnel &amp; Founder Profile</w:t>
      </w:r>
    </w:p>
    <w:tbl>
      <w:tblPr>
        <w:tblW w:type="auto" w:w="0"/>
        <w:jc w:val="center"/>
        <w:tblLook w:firstColumn="1" w:firstRow="1" w:lastColumn="0" w:lastRow="0" w:noHBand="0" w:noVBand="1" w:val="04A0"/>
      </w:tblPr>
      <w:tblGrid>
        <w:gridCol w:w="4320"/>
        <w:gridCol w:w="4320"/>
      </w:tblGrid>
      <w:tr>
        <w:tc>
          <w:tcPr>
            <w:tcW w:type="dxa" w:w="3168"/>
            <w:shd w:fill="050D1A"/>
            <w:tcMar>
              <w:top w:w="140" w:type="dxa"/>
              <w:bottom w:w="140" w:type="dxa"/>
              <w:left w:w="140" w:type="dxa"/>
              <w:right w:w="140" w:type="dxa"/>
            </w:tcMar>
          </w:tcPr>
          <w:p>
            <w:r>
              <w:rPr>
                <w:b/>
                <w:color w:val="00F5FF"/>
                <w:sz w:val="23"/>
              </w:rPr>
              <w:t>MO QASIM</w:t>
              <w:br/>
            </w:r>
            <w:r>
              <w:rPr>
                <w:color w:val="DCE6F0"/>
                <w:sz w:val="18"/>
              </w:rPr>
              <w:t>Founder &amp; Principal Consultant</w:t>
              <w:br/>
              <w:t>Senior Cyber Security Specialist</w:t>
              <w:br/>
              <w:br/>
            </w:r>
            <w:r>
              <w:rPr>
                <w:color w:val="B4C8DC"/>
                <w:sz w:val="17"/>
              </w:rPr>
              <w:t>CLEARANCE:</w:t>
              <w:br/>
              <w:t>NV2 (Negative Vetting 2)</w:t>
              <w:br/>
              <w:br/>
              <w:t>EDUCATION:</w:t>
              <w:br/>
              <w:t>Masters in Cyber Security Engineering (UNSW)</w:t>
              <w:br/>
              <w:br/>
              <w:t>LOCATION:</w:t>
              <w:br/>
              <w:t>Sydney, NSW</w:t>
              <w:br/>
              <w:br/>
              <w:t>CONTACT:</w:t>
              <w:br/>
              <w:t>mo@forcefortitude.com</w:t>
            </w:r>
          </w:p>
        </w:tc>
        <w:tc>
          <w:tcPr>
            <w:tcW w:type="dxa" w:w="6192"/>
            <w:shd w:fill="F8FAFC"/>
            <w:tcMar>
              <w:top w:w="140" w:type="dxa"/>
              <w:bottom w:w="140" w:type="dxa"/>
              <w:left w:w="160" w:type="dxa"/>
              <w:right w:w="160" w:type="dxa"/>
            </w:tcMar>
          </w:tcPr>
          <w:p>
            <w:r>
              <w:rPr>
                <w:b/>
                <w:color w:val="050D1A"/>
                <w:sz w:val="20"/>
              </w:rPr>
              <w:t>Professional Summary &amp; Defence Pedigree:</w:t>
              <w:br/>
            </w:r>
          </w:p>
          <w:p>
            <w:pPr>
              <w:spacing w:before="80"/>
            </w:pPr>
            <w:r>
              <w:rPr>
                <w:color w:val="28323C"/>
                <w:sz w:val="17"/>
              </w:rPr>
              <w:t>Mo Qasim is a Cyber Governance and Penetration Testing Specialist holding an active NV2 Security Clearance with over a decade of experience across the Australian Defence Force (Air Force / RAAF), government entities, healthcare, and enterprise networks.</w:t>
              <w:br/>
              <w:br/>
              <w:t>Former Systems &amp; Cyberspace Security Integration Analyst for domestic and international Defence operations across Protected and Secret domains. Experienced in conducting internal, external, web application, API, mobile (iOS/Android) penetration testing, and digital forensics scrutiny.</w:t>
              <w:br/>
              <w:br/>
              <w:t>Certifications &amp; ADF Training:</w:t>
              <w:br/>
              <w:t>• Information Technology Security Officers Course (Defence Force Cyber College 2024)</w:t>
              <w:br/>
              <w:t>• ISMS Lead Auditor (Defence Force Cyber College 2024)</w:t>
              <w:br/>
              <w:t>• Joint Vulnerability Assessment Analyst (Defence Force Cyber College 2023)</w:t>
              <w:br/>
              <w:t>• Essential Eight Assessment Specialist (TAFE NSW 2023)</w:t>
              <w:br/>
              <w:t>• CCNA 1, 2 &amp; 3 Scaling Networks | MOC Virtualization &amp; Cloud Security</w:t>
              <w:br/>
              <w:br/>
              <w:t>Recognised Bug Bounty &amp; Vulnerability Disclosure Researcher:</w:t>
              <w:br/>
              <w:t>• Attorney-General's Department</w:t>
              <w:br/>
              <w:t>• Australia Post</w:t>
              <w:br/>
              <w:t>• Western Australia Department of Education &amp; WA Office of Digital Government</w:t>
              <w:br/>
              <w:t>• Australian Department of Health &amp; Australian Institute of Health &amp; Welfare</w:t>
              <w:br/>
              <w:br/>
              <w:t>Honours &amp; Medals:</w:t>
              <w:br/>
              <w:t>• Australian Defence Medal</w:t>
              <w:br/>
              <w:t>• Australian Operational Service Medal (Greater Middle East Operation)</w:t>
              <w:br/>
              <w:t>• Operational Service Badge (Military) | Air Force Appreciation Medal</w:t>
            </w:r>
          </w:p>
        </w:tc>
      </w:tr>
    </w:tbl>
    <w:p/>
    <w:p>
      <w:pPr>
        <w:pStyle w:val="Heading1"/>
        <w:spacing w:before="320" w:after="160"/>
      </w:pPr>
      <w:r>
        <w:rPr>
          <w:rFonts w:ascii="Arial" w:hAnsi="Arial"/>
          <w:b/>
          <w:color w:val="050D1A"/>
          <w:sz w:val="32"/>
        </w:rPr>
        <w:t>8. Terms &amp; Conditions</w:t>
      </w:r>
    </w:p>
    <w:p>
      <w:pPr>
        <w:pStyle w:val="Heading3"/>
        <w:spacing w:before="200" w:after="80"/>
      </w:pPr>
      <w:r>
        <w:rPr>
          <w:rFonts w:ascii="Arial" w:hAnsi="Arial"/>
          <w:b/>
          <w:color w:val="283246"/>
          <w:sz w:val="22"/>
        </w:rPr>
        <w:t>1. Definitions &amp; Interpretation</w:t>
      </w:r>
    </w:p>
    <w:p>
      <w:pPr>
        <w:spacing w:after="60"/>
      </w:pPr>
      <w:r>
        <w:rPr>
          <w:rFonts w:ascii="Arial" w:hAnsi="Arial"/>
          <w:color w:val="323C46"/>
          <w:sz w:val="17"/>
        </w:rPr>
        <w:t>In this agreement, 'Force Fortitude' means Force Fortitude Pty Ltd (ABN 42 691 602 276). 'Customer' means the entity listed in the Document Control schedule. 'Services' means the cybersecurity consulting and testing services described herein.</w:t>
      </w:r>
    </w:p>
    <w:p>
      <w:pPr>
        <w:pStyle w:val="Heading3"/>
        <w:spacing w:before="200" w:after="80"/>
      </w:pPr>
      <w:r>
        <w:rPr>
          <w:rFonts w:ascii="Arial" w:hAnsi="Arial"/>
          <w:b/>
          <w:color w:val="283246"/>
          <w:sz w:val="22"/>
        </w:rPr>
        <w:t>2. Engagement &amp; Scope</w:t>
      </w:r>
    </w:p>
    <w:p>
      <w:pPr>
        <w:spacing w:after="60"/>
      </w:pPr>
      <w:r>
        <w:rPr>
          <w:rFonts w:ascii="Arial" w:hAnsi="Arial"/>
          <w:color w:val="323C46"/>
          <w:sz w:val="17"/>
        </w:rPr>
        <w:t>Force Fortitude agrees to perform the Services in a professional, timely, and workmanlike manner using qualified security personnel holding relevant industry certifications and security clearances.</w:t>
      </w:r>
    </w:p>
    <w:p>
      <w:pPr>
        <w:pStyle w:val="Heading3"/>
        <w:spacing w:before="200" w:after="80"/>
      </w:pPr>
      <w:r>
        <w:rPr>
          <w:rFonts w:ascii="Arial" w:hAnsi="Arial"/>
          <w:b/>
          <w:color w:val="283246"/>
          <w:sz w:val="22"/>
        </w:rPr>
        <w:t>3. Client Authorization &amp; Access</w:t>
      </w:r>
    </w:p>
    <w:p>
      <w:pPr>
        <w:spacing w:after="60"/>
      </w:pPr>
      <w:r>
        <w:rPr>
          <w:rFonts w:ascii="Arial" w:hAnsi="Arial"/>
          <w:color w:val="323C46"/>
          <w:sz w:val="17"/>
        </w:rPr>
        <w:t>The Customer warrants that it has full legal authority to authorize Force Fortitude to conduct security testing, vulnerability scanning, and evidence analysis on the designated systems and scope listed in Section 3.</w:t>
      </w:r>
    </w:p>
    <w:p>
      <w:pPr>
        <w:pStyle w:val="Heading3"/>
        <w:spacing w:before="200" w:after="80"/>
      </w:pPr>
      <w:r>
        <w:rPr>
          <w:rFonts w:ascii="Arial" w:hAnsi="Arial"/>
          <w:b/>
          <w:color w:val="283246"/>
          <w:sz w:val="22"/>
        </w:rPr>
        <w:t>4. Confidentiality &amp; Non-Disclosure</w:t>
      </w:r>
    </w:p>
    <w:p>
      <w:pPr>
        <w:spacing w:after="60"/>
      </w:pPr>
      <w:r>
        <w:rPr>
          <w:rFonts w:ascii="Arial" w:hAnsi="Arial"/>
          <w:color w:val="323C46"/>
          <w:sz w:val="17"/>
        </w:rPr>
        <w:t>All information, data, findings, and reports generated during the engagement shall remain strictly confidential. Force Fortitude stores all test data in hardware-encrypted, Australian-sovereign environments complying with the Privacy Act 1988 (Cth).</w:t>
      </w:r>
    </w:p>
    <w:p>
      <w:pPr>
        <w:pStyle w:val="Heading3"/>
        <w:spacing w:before="200" w:after="80"/>
      </w:pPr>
      <w:r>
        <w:rPr>
          <w:rFonts w:ascii="Arial" w:hAnsi="Arial"/>
          <w:b/>
          <w:color w:val="283246"/>
          <w:sz w:val="22"/>
        </w:rPr>
        <w:t>5. Deliverables &amp; Acceptance</w:t>
      </w:r>
    </w:p>
    <w:p>
      <w:pPr>
        <w:spacing w:after="60"/>
      </w:pPr>
      <w:r>
        <w:rPr>
          <w:rFonts w:ascii="Arial" w:hAnsi="Arial"/>
          <w:color w:val="323C46"/>
          <w:sz w:val="17"/>
        </w:rPr>
        <w:t>Force Fortitude will issue draft executive and technical findings reports upon completion. The Customer has fourteen (14) business days to provide review feedback prior to final report issuance.</w:t>
      </w:r>
    </w:p>
    <w:p>
      <w:pPr>
        <w:pStyle w:val="Heading3"/>
        <w:spacing w:before="200" w:after="80"/>
      </w:pPr>
      <w:r>
        <w:rPr>
          <w:rFonts w:ascii="Arial" w:hAnsi="Arial"/>
          <w:b/>
          <w:color w:val="283246"/>
          <w:sz w:val="22"/>
        </w:rPr>
        <w:t>6. Fees, Pricing &amp; Payment</w:t>
      </w:r>
    </w:p>
    <w:p>
      <w:pPr>
        <w:spacing w:after="60"/>
      </w:pPr>
      <w:r>
        <w:rPr>
          <w:rFonts w:ascii="Arial" w:hAnsi="Arial"/>
          <w:color w:val="323C46"/>
          <w:sz w:val="17"/>
        </w:rPr>
        <w:t>Fees are quoted in Australian Dollars ($ AUD) exclusive of GST. Invoices are payable within fourteen (14) business days of draft report issuance. Out-of-hours testing requested by the Customer will incur standard weekend/holiday loadings.</w:t>
      </w:r>
    </w:p>
    <w:p>
      <w:pPr>
        <w:pStyle w:val="Heading3"/>
        <w:spacing w:before="200" w:after="80"/>
      </w:pPr>
      <w:r>
        <w:rPr>
          <w:rFonts w:ascii="Arial" w:hAnsi="Arial"/>
          <w:b/>
          <w:color w:val="283246"/>
          <w:sz w:val="22"/>
        </w:rPr>
        <w:t>7. Intellectual Property</w:t>
      </w:r>
    </w:p>
    <w:p>
      <w:pPr>
        <w:spacing w:after="60"/>
      </w:pPr>
      <w:r>
        <w:rPr>
          <w:rFonts w:ascii="Arial" w:hAnsi="Arial"/>
          <w:color w:val="323C46"/>
          <w:sz w:val="17"/>
        </w:rPr>
        <w:t>The Customer retains ownership of all proprietary data. Force Fortitude grants a perpetual, non-exclusive, royalty-free license to the Customer to use all final reports and remediation guidance.</w:t>
      </w:r>
    </w:p>
    <w:p>
      <w:pPr>
        <w:pStyle w:val="Heading3"/>
        <w:spacing w:before="200" w:after="80"/>
      </w:pPr>
      <w:r>
        <w:rPr>
          <w:rFonts w:ascii="Arial" w:hAnsi="Arial"/>
          <w:b/>
          <w:color w:val="283246"/>
          <w:sz w:val="22"/>
        </w:rPr>
        <w:t>8. Limitation of Liability</w:t>
      </w:r>
    </w:p>
    <w:p>
      <w:pPr>
        <w:spacing w:after="60"/>
      </w:pPr>
      <w:r>
        <w:rPr>
          <w:rFonts w:ascii="Arial" w:hAnsi="Arial"/>
          <w:color w:val="323C46"/>
          <w:sz w:val="17"/>
        </w:rPr>
        <w:t>To the maximum extent permitted under New South Wales law, Force Fortitude's aggregate liability under this agreement shall be limited to the total fees paid by the Customer for the specific engagement.</w:t>
      </w:r>
    </w:p>
    <w:p>
      <w:pPr>
        <w:pStyle w:val="Heading3"/>
        <w:spacing w:before="200" w:after="80"/>
      </w:pPr>
      <w:r>
        <w:rPr>
          <w:rFonts w:ascii="Arial" w:hAnsi="Arial"/>
          <w:b/>
          <w:color w:val="283246"/>
          <w:sz w:val="22"/>
        </w:rPr>
        <w:t>9. Governing Law</w:t>
      </w:r>
    </w:p>
    <w:p>
      <w:pPr>
        <w:spacing w:after="60"/>
      </w:pPr>
      <w:r>
        <w:rPr>
          <w:rFonts w:ascii="Arial" w:hAnsi="Arial"/>
          <w:color w:val="323C46"/>
          <w:sz w:val="17"/>
        </w:rPr>
        <w:t>This proposal and resulting contract shall be governed by and construed in accordance with the laws of the State of New South Wales, Australia.</w:t>
      </w:r>
    </w:p>
    <w:p>
      <w:pPr>
        <w:pStyle w:val="Heading1"/>
        <w:spacing w:before="320" w:after="160"/>
      </w:pPr>
      <w:r>
        <w:rPr>
          <w:rFonts w:ascii="Arial" w:hAnsi="Arial"/>
          <w:b/>
          <w:color w:val="050D1A"/>
          <w:sz w:val="32"/>
        </w:rPr>
        <w:t>9. Agreement of Work</w:t>
      </w:r>
    </w:p>
    <w:p>
      <w:r>
        <w:rPr>
          <w:rFonts w:ascii="Arial" w:hAnsi="Arial"/>
          <w:color w:val="28323C"/>
          <w:sz w:val="18"/>
        </w:rPr>
        <w:t>Force Fortitude Pty Ltd requests that [Client Organisation Name] indicates formal acceptance and agreement with the proposal of work to be undertaken by signing and returning this document below.</w:t>
        <w:br/>
        <w:br/>
        <w:t>Upon receipt of the signed agreement and purchase order, Force Fortitude will schedule the project commencement meeting.</w:t>
      </w:r>
    </w:p>
    <w:tbl>
      <w:tblPr>
        <w:tblW w:type="auto" w:w="0"/>
        <w:jc w:val="center"/>
        <w:tblLook w:firstColumn="1" w:firstRow="1" w:lastColumn="0" w:lastRow="0" w:noHBand="0" w:noVBand="1" w:val="04A0"/>
      </w:tblPr>
      <w:tblGrid>
        <w:gridCol w:w="4320"/>
        <w:gridCol w:w="4320"/>
      </w:tblGrid>
      <w:tr>
        <w:tc>
          <w:tcPr>
            <w:tcW w:type="dxa" w:w="3168"/>
            <w:shd w:fill="F0F4F8"/>
            <w:tcMar>
              <w:top w:w="70" w:type="dxa"/>
              <w:bottom w:w="70" w:type="dxa"/>
              <w:left w:w="100" w:type="dxa"/>
              <w:right w:w="100" w:type="dxa"/>
            </w:tcMar>
          </w:tcPr>
          <w:p>
            <w:r>
              <w:rPr>
                <w:b/>
                <w:sz w:val="17"/>
              </w:rPr>
              <w:t>Client Organisation:</w:t>
            </w:r>
          </w:p>
        </w:tc>
        <w:tc>
          <w:tcPr>
            <w:tcW w:type="dxa" w:w="6192"/>
            <w:shd w:fill="FFFFFF"/>
            <w:tcMar>
              <w:top w:w="70" w:type="dxa"/>
              <w:bottom w:w="70" w:type="dxa"/>
              <w:left w:w="100" w:type="dxa"/>
              <w:right w:w="100" w:type="dxa"/>
            </w:tcMar>
          </w:tcPr>
          <w:p>
            <w:r>
              <w:t>[Client Organisation Name]</w:t>
            </w:r>
          </w:p>
        </w:tc>
      </w:tr>
      <w:tr>
        <w:tc>
          <w:tcPr>
            <w:tcW w:type="dxa" w:w="3168"/>
            <w:shd w:fill="F0F4F8"/>
            <w:tcMar>
              <w:top w:w="70" w:type="dxa"/>
              <w:bottom w:w="70" w:type="dxa"/>
              <w:left w:w="100" w:type="dxa"/>
              <w:right w:w="100" w:type="dxa"/>
            </w:tcMar>
          </w:tcPr>
          <w:p>
            <w:r>
              <w:rPr>
                <w:b/>
                <w:sz w:val="17"/>
              </w:rPr>
              <w:t>Authorised Signature: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Printed Name: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Job Title / Role: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Date of Signature:</w:t>
            </w:r>
          </w:p>
        </w:tc>
        <w:tc>
          <w:tcPr>
            <w:tcW w:type="dxa" w:w="6192"/>
            <w:shd w:fill="FFFFFF"/>
            <w:tcMar>
              <w:top w:w="70" w:type="dxa"/>
              <w:bottom w:w="70" w:type="dxa"/>
              <w:left w:w="100" w:type="dxa"/>
              <w:right w:w="100" w:type="dxa"/>
            </w:tcMar>
          </w:tcPr>
          <w:p>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8828C"/>
        <w:sz w:val="17"/>
      </w:rPr>
      <w:t>Commercial in Confidence | Proposal ID: FF-PROP-ENPT-2026 | ABN: 42 691 602 276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28C"/>
        <w:sz w:val="17"/>
      </w:rPr>
      <w:t>Force Fortitude Pty Ltd | External Penetration Testing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