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50D1A"/>
          <w:sz w:val="48"/>
        </w:rPr>
        <w:t>Proposal of Works</w:t>
        <w:br/>
        <w:t>Internal Penetration Testing</w:t>
        <w:br/>
      </w:r>
      <w:r>
        <w:rPr>
          <w:color w:val="0066CC"/>
          <w:sz w:val="26"/>
        </w:rPr>
        <w:t>Active Directory, Lateral Movement &amp; Ransomware Isolation Assurance</w:t>
        <w:br/>
        <w:br/>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60" w:type="dxa"/>
              <w:right w:w="160" w:type="dxa"/>
            </w:tcMar>
          </w:tcPr>
          <w:p>
            <w:pPr>
              <w:jc w:val="left"/>
            </w:pPr>
            <w:r>
              <w:rPr>
                <w:rFonts w:ascii="Arial" w:hAnsi="Arial"/>
                <w:b/>
                <w:color w:val="FFFFFF"/>
                <w:sz w:val="19"/>
              </w:rPr>
              <w:t>Document Control</w:t>
            </w:r>
          </w:p>
        </w:tc>
        <w:tc>
          <w:tcPr>
            <w:tcW w:type="dxa" w:w="6192"/>
            <w:shd w:fill="050D1A"/>
            <w:tcMar>
              <w:top w:w="140" w:type="dxa"/>
              <w:bottom w:w="140" w:type="dxa"/>
              <w:left w:w="160" w:type="dxa"/>
              <w:right w:w="160" w:type="dxa"/>
            </w:tcMar>
          </w:tcPr>
          <w:p>
            <w:pPr>
              <w:jc w:val="left"/>
            </w:pPr>
            <w:r>
              <w:rPr>
                <w:rFonts w:ascii="Arial" w:hAnsi="Arial"/>
                <w:b/>
                <w:color w:val="FFFFFF"/>
                <w:sz w:val="19"/>
              </w:rPr>
              <w:t>Details</w:t>
            </w:r>
          </w:p>
        </w:tc>
      </w:tr>
      <w:tr>
        <w:tc>
          <w:tcPr>
            <w:tcW w:type="dxa" w:w="3168"/>
            <w:shd w:fill="FFFFFF"/>
            <w:tcMar>
              <w:top w:w="100" w:type="dxa"/>
              <w:bottom w:w="100" w:type="dxa"/>
              <w:left w:w="140" w:type="dxa"/>
              <w:right w:w="140" w:type="dxa"/>
            </w:tcMar>
          </w:tcPr>
          <w:p>
            <w:r>
              <w:rPr>
                <w:rFonts w:ascii="Arial" w:hAnsi="Arial"/>
                <w:color w:val="1E2832"/>
                <w:sz w:val="18"/>
              </w:rPr>
              <w:t>Prepared For Client</w:t>
            </w:r>
          </w:p>
        </w:tc>
        <w:tc>
          <w:tcPr>
            <w:tcW w:type="dxa" w:w="6192"/>
            <w:shd w:fill="FFFFFF"/>
            <w:tcMar>
              <w:top w:w="100" w:type="dxa"/>
              <w:bottom w:w="100" w:type="dxa"/>
              <w:left w:w="140" w:type="dxa"/>
              <w:right w:w="140" w:type="dxa"/>
            </w:tcMar>
          </w:tcPr>
          <w:p>
            <w:r>
              <w:rPr>
                <w:rFonts w:ascii="Arial" w:hAnsi="Arial"/>
                <w:color w:val="1E2832"/>
                <w:sz w:val="18"/>
              </w:rPr>
              <w:t>[Client Organisation Name]</w:t>
            </w:r>
          </w:p>
        </w:tc>
      </w:tr>
      <w:tr>
        <w:tc>
          <w:tcPr>
            <w:tcW w:type="dxa" w:w="3168"/>
            <w:shd w:fill="F0F4F8"/>
            <w:tcMar>
              <w:top w:w="100" w:type="dxa"/>
              <w:bottom w:w="100" w:type="dxa"/>
              <w:left w:w="140" w:type="dxa"/>
              <w:right w:w="140" w:type="dxa"/>
            </w:tcMar>
          </w:tcPr>
          <w:p>
            <w:r>
              <w:rPr>
                <w:rFonts w:ascii="Arial" w:hAnsi="Arial"/>
                <w:color w:val="1E2832"/>
                <w:sz w:val="18"/>
              </w:rPr>
              <w:t>Prepared By</w:t>
            </w:r>
          </w:p>
        </w:tc>
        <w:tc>
          <w:tcPr>
            <w:tcW w:type="dxa" w:w="6192"/>
            <w:shd w:fill="F0F4F8"/>
            <w:tcMar>
              <w:top w:w="100" w:type="dxa"/>
              <w:bottom w:w="100" w:type="dxa"/>
              <w:left w:w="140" w:type="dxa"/>
              <w:right w:w="140" w:type="dxa"/>
            </w:tcMar>
          </w:tcPr>
          <w:p>
            <w:r>
              <w:rPr>
                <w:rFonts w:ascii="Arial" w:hAnsi="Arial"/>
                <w:color w:val="1E2832"/>
                <w:sz w:val="18"/>
              </w:rPr>
              <w:t>Force Fortitude Pty Ltd (ABN: 42 691 602 276)</w:t>
            </w:r>
          </w:p>
        </w:tc>
      </w:tr>
      <w:tr>
        <w:tc>
          <w:tcPr>
            <w:tcW w:type="dxa" w:w="3168"/>
            <w:shd w:fill="FFFFFF"/>
            <w:tcMar>
              <w:top w:w="100" w:type="dxa"/>
              <w:bottom w:w="100" w:type="dxa"/>
              <w:left w:w="140" w:type="dxa"/>
              <w:right w:w="140" w:type="dxa"/>
            </w:tcMar>
          </w:tcPr>
          <w:p>
            <w:r>
              <w:rPr>
                <w:rFonts w:ascii="Arial" w:hAnsi="Arial"/>
                <w:color w:val="1E2832"/>
                <w:sz w:val="18"/>
              </w:rPr>
              <w:t>Lead Consultant</w:t>
            </w:r>
          </w:p>
        </w:tc>
        <w:tc>
          <w:tcPr>
            <w:tcW w:type="dxa" w:w="6192"/>
            <w:shd w:fill="FFFFFF"/>
            <w:tcMar>
              <w:top w:w="100" w:type="dxa"/>
              <w:bottom w:w="100" w:type="dxa"/>
              <w:left w:w="140" w:type="dxa"/>
              <w:right w:w="140" w:type="dxa"/>
            </w:tcMar>
          </w:tcPr>
          <w:p>
            <w:r>
              <w:rPr>
                <w:rFonts w:ascii="Arial" w:hAnsi="Arial"/>
                <w:color w:val="1E2832"/>
                <w:sz w:val="18"/>
              </w:rPr>
              <w:t>Mo Qasim (Founder &amp; Principal Consultant, NV2)</w:t>
            </w:r>
          </w:p>
        </w:tc>
      </w:tr>
      <w:tr>
        <w:tc>
          <w:tcPr>
            <w:tcW w:type="dxa" w:w="3168"/>
            <w:shd w:fill="F0F4F8"/>
            <w:tcMar>
              <w:top w:w="100" w:type="dxa"/>
              <w:bottom w:w="100" w:type="dxa"/>
              <w:left w:w="140" w:type="dxa"/>
              <w:right w:w="140" w:type="dxa"/>
            </w:tcMar>
          </w:tcPr>
          <w:p>
            <w:r>
              <w:rPr>
                <w:rFonts w:ascii="Arial" w:hAnsi="Arial"/>
                <w:color w:val="1E2832"/>
                <w:sz w:val="18"/>
              </w:rPr>
              <w:t>Proposal Version</w:t>
            </w:r>
          </w:p>
        </w:tc>
        <w:tc>
          <w:tcPr>
            <w:tcW w:type="dxa" w:w="6192"/>
            <w:shd w:fill="F0F4F8"/>
            <w:tcMar>
              <w:top w:w="100" w:type="dxa"/>
              <w:bottom w:w="100" w:type="dxa"/>
              <w:left w:w="140" w:type="dxa"/>
              <w:right w:w="140" w:type="dxa"/>
            </w:tcMar>
          </w:tcPr>
          <w:p>
            <w:r>
              <w:rPr>
                <w:rFonts w:ascii="Arial" w:hAnsi="Arial"/>
                <w:color w:val="1E2832"/>
                <w:sz w:val="18"/>
              </w:rPr>
              <w:t>1.0 (Final)</w:t>
            </w:r>
          </w:p>
        </w:tc>
      </w:tr>
      <w:tr>
        <w:tc>
          <w:tcPr>
            <w:tcW w:type="dxa" w:w="3168"/>
            <w:shd w:fill="FFFFFF"/>
            <w:tcMar>
              <w:top w:w="100" w:type="dxa"/>
              <w:bottom w:w="100" w:type="dxa"/>
              <w:left w:w="140" w:type="dxa"/>
              <w:right w:w="140" w:type="dxa"/>
            </w:tcMar>
          </w:tcPr>
          <w:p>
            <w:r>
              <w:rPr>
                <w:rFonts w:ascii="Arial" w:hAnsi="Arial"/>
                <w:color w:val="1E2832"/>
                <w:sz w:val="18"/>
              </w:rPr>
              <w:t>Proposal ID</w:t>
            </w:r>
          </w:p>
        </w:tc>
        <w:tc>
          <w:tcPr>
            <w:tcW w:type="dxa" w:w="6192"/>
            <w:shd w:fill="FFFFFF"/>
            <w:tcMar>
              <w:top w:w="100" w:type="dxa"/>
              <w:bottom w:w="100" w:type="dxa"/>
              <w:left w:w="140" w:type="dxa"/>
              <w:right w:w="140" w:type="dxa"/>
            </w:tcMar>
          </w:tcPr>
          <w:p>
            <w:r>
              <w:rPr>
                <w:rFonts w:ascii="Arial" w:hAnsi="Arial"/>
                <w:color w:val="1E2832"/>
                <w:sz w:val="18"/>
              </w:rPr>
              <w:t>FF-PROP-INPT-2026-02</w:t>
            </w:r>
          </w:p>
        </w:tc>
      </w:tr>
      <w:tr>
        <w:tc>
          <w:tcPr>
            <w:tcW w:type="dxa" w:w="3168"/>
            <w:shd w:fill="F0F4F8"/>
            <w:tcMar>
              <w:top w:w="100" w:type="dxa"/>
              <w:bottom w:w="100" w:type="dxa"/>
              <w:left w:w="140" w:type="dxa"/>
              <w:right w:w="140" w:type="dxa"/>
            </w:tcMar>
          </w:tcPr>
          <w:p>
            <w:r>
              <w:rPr>
                <w:rFonts w:ascii="Arial" w:hAnsi="Arial"/>
                <w:color w:val="1E2832"/>
                <w:sz w:val="18"/>
              </w:rPr>
              <w:t>Date Issued</w:t>
            </w:r>
          </w:p>
        </w:tc>
        <w:tc>
          <w:tcPr>
            <w:tcW w:type="dxa" w:w="6192"/>
            <w:shd w:fill="F0F4F8"/>
            <w:tcMar>
              <w:top w:w="100" w:type="dxa"/>
              <w:bottom w:w="100" w:type="dxa"/>
              <w:left w:w="140" w:type="dxa"/>
              <w:right w:w="140" w:type="dxa"/>
            </w:tcMar>
          </w:tcPr>
          <w:p>
            <w:r>
              <w:rPr>
                <w:rFonts w:ascii="Arial" w:hAnsi="Arial"/>
                <w:color w:val="1E2832"/>
                <w:sz w:val="18"/>
              </w:rPr>
              <w:t>August 2026</w:t>
            </w:r>
          </w:p>
        </w:tc>
      </w:tr>
      <w:tr>
        <w:tc>
          <w:tcPr>
            <w:tcW w:type="dxa" w:w="3168"/>
            <w:shd w:fill="FFFFFF"/>
            <w:tcMar>
              <w:top w:w="100" w:type="dxa"/>
              <w:bottom w:w="100" w:type="dxa"/>
              <w:left w:w="140" w:type="dxa"/>
              <w:right w:w="140" w:type="dxa"/>
            </w:tcMar>
          </w:tcPr>
          <w:p>
            <w:r>
              <w:rPr>
                <w:rFonts w:ascii="Arial" w:hAnsi="Arial"/>
                <w:color w:val="1E2832"/>
                <w:sz w:val="18"/>
              </w:rPr>
              <w:t>Validity</w:t>
            </w:r>
          </w:p>
        </w:tc>
        <w:tc>
          <w:tcPr>
            <w:tcW w:type="dxa" w:w="6192"/>
            <w:shd w:fill="FFFFFF"/>
            <w:tcMar>
              <w:top w:w="100" w:type="dxa"/>
              <w:bottom w:w="100" w:type="dxa"/>
              <w:left w:w="140" w:type="dxa"/>
              <w:right w:w="140" w:type="dxa"/>
            </w:tcMar>
          </w:tcPr>
          <w:p>
            <w:r>
              <w:rPr>
                <w:rFonts w:ascii="Arial" w:hAnsi="Arial"/>
                <w:color w:val="1E2832"/>
                <w:sz w:val="18"/>
              </w:rPr>
              <w:t>30 Days from Issue</w:t>
            </w:r>
          </w:p>
        </w:tc>
      </w:tr>
    </w:tbl>
    <w:p/>
    <w:p>
      <w:pPr>
        <w:pStyle w:val="Heading1"/>
        <w:spacing w:before="320" w:after="160"/>
      </w:pPr>
      <w:r>
        <w:rPr>
          <w:rFonts w:ascii="Arial" w:hAnsi="Arial"/>
          <w:b/>
          <w:color w:val="050D1A"/>
          <w:sz w:val="32"/>
        </w:rPr>
        <w:t>1. Executive Summary &amp; Introduction</w:t>
      </w:r>
    </w:p>
    <w:p>
      <w:r>
        <w:rPr>
          <w:sz w:val="19"/>
        </w:rPr>
        <w:t>Force Fortitude Pty Ltd is pleased to present this Proposal of Works for an Internal Network Penetration Testing and Active Directory Security Assessment. This assessment simulates the perspective of an insider threat or an adversary who has gained initial access inside your corporate network perimeter.</w:t>
        <w:br/>
        <w:br/>
        <w:t>Utilising our Fortive Network Orion Pro enterprise virtual appliance (DomainX Orion Pro Engine), Force Fortitude evaluates Active Directory domain trusts, lateral movement paths, privilege escalation opportunities, and SMB/Kerberos vulnerabilities.</w:t>
      </w:r>
    </w:p>
    <w:p>
      <w:pPr>
        <w:pStyle w:val="Heading1"/>
        <w:spacing w:before="320" w:after="160"/>
      </w:pPr>
      <w:r>
        <w:rPr>
          <w:rFonts w:ascii="Arial" w:hAnsi="Arial"/>
          <w:b/>
          <w:color w:val="050D1A"/>
          <w:sz w:val="32"/>
        </w:rPr>
        <w:t>2. About Force Fortitude Pty Ltd</w:t>
      </w:r>
    </w:p>
    <w:p>
      <w:r>
        <w:rPr>
          <w:sz w:val="19"/>
        </w:rPr>
        <w:t>Force Fortitude is a 100% Australian owned cybersecurity company specialising in high-assurance penetration testing and defence systems. Our team holds active NV2 security clearances, Masters degrees in Cyber Security Engineering from UNSW, and over a decade of Australian Defence Force experience.</w:t>
      </w:r>
    </w:p>
    <w:p>
      <w:pPr>
        <w:pStyle w:val="Heading1"/>
        <w:spacing w:before="320" w:after="160"/>
      </w:pPr>
      <w:r>
        <w:rPr>
          <w:rFonts w:ascii="Arial" w:hAnsi="Arial"/>
          <w:b/>
          <w:color w:val="050D1A"/>
          <w:sz w:val="32"/>
        </w:rPr>
        <w:t>3. Scope of Works &amp; Internal Inventory</w:t>
      </w:r>
    </w:p>
    <w:tbl>
      <w:tblPr>
        <w:tblW w:type="auto" w:w="0"/>
        <w:jc w:val="center"/>
        <w:tblLook w:firstColumn="1" w:firstRow="1" w:lastColumn="0" w:lastRow="0" w:noHBand="0" w:noVBand="1" w:val="04A0"/>
      </w:tblPr>
      <w:tblGrid>
        <w:gridCol w:w="2160"/>
        <w:gridCol w:w="2160"/>
        <w:gridCol w:w="2160"/>
        <w:gridCol w:w="2160"/>
      </w:tblGrid>
      <w:tr>
        <w:tc>
          <w:tcPr>
            <w:tcW w:type="dxa" w:w="2592"/>
            <w:shd w:fill="050D1A"/>
            <w:tcMar>
              <w:top w:w="140" w:type="dxa"/>
              <w:bottom w:w="140" w:type="dxa"/>
              <w:left w:w="160" w:type="dxa"/>
              <w:right w:w="160" w:type="dxa"/>
            </w:tcMar>
          </w:tcPr>
          <w:p>
            <w:pPr>
              <w:jc w:val="left"/>
            </w:pPr>
            <w:r>
              <w:rPr>
                <w:rFonts w:ascii="Arial" w:hAnsi="Arial"/>
                <w:b/>
                <w:color w:val="FFFFFF"/>
                <w:sz w:val="19"/>
              </w:rPr>
              <w:t>Internal Asset Type</w:t>
            </w:r>
          </w:p>
        </w:tc>
        <w:tc>
          <w:tcPr>
            <w:tcW w:type="dxa" w:w="3600"/>
            <w:shd w:fill="050D1A"/>
            <w:tcMar>
              <w:top w:w="140" w:type="dxa"/>
              <w:bottom w:w="140" w:type="dxa"/>
              <w:left w:w="160" w:type="dxa"/>
              <w:right w:w="160" w:type="dxa"/>
            </w:tcMar>
          </w:tcPr>
          <w:p>
            <w:pPr>
              <w:jc w:val="left"/>
            </w:pPr>
            <w:r>
              <w:rPr>
                <w:rFonts w:ascii="Arial" w:hAnsi="Arial"/>
                <w:b/>
                <w:color w:val="FFFFFF"/>
                <w:sz w:val="19"/>
              </w:rPr>
              <w:t>Testing Focus</w:t>
            </w:r>
          </w:p>
        </w:tc>
        <w:tc>
          <w:tcPr>
            <w:tcW w:type="dxa" w:w="1728"/>
            <w:shd w:fill="050D1A"/>
            <w:tcMar>
              <w:top w:w="140" w:type="dxa"/>
              <w:bottom w:w="140" w:type="dxa"/>
              <w:left w:w="160" w:type="dxa"/>
              <w:right w:w="160" w:type="dxa"/>
            </w:tcMar>
          </w:tcPr>
          <w:p>
            <w:pPr>
              <w:jc w:val="left"/>
            </w:pPr>
            <w:r>
              <w:rPr>
                <w:rFonts w:ascii="Arial" w:hAnsi="Arial"/>
                <w:b/>
                <w:color w:val="FFFFFF"/>
                <w:sz w:val="19"/>
              </w:rPr>
              <w:t>Deployment Mode</w:t>
            </w:r>
          </w:p>
        </w:tc>
        <w:tc>
          <w:tcPr>
            <w:tcW w:type="dxa" w:w="1440"/>
            <w:shd w:fill="050D1A"/>
            <w:tcMar>
              <w:top w:w="140" w:type="dxa"/>
              <w:bottom w:w="140" w:type="dxa"/>
              <w:left w:w="160" w:type="dxa"/>
              <w:right w:w="160" w:type="dxa"/>
            </w:tcMar>
          </w:tcPr>
          <w:p>
            <w:pPr>
              <w:jc w:val="left"/>
            </w:pPr>
            <w:r>
              <w:rPr>
                <w:rFonts w:ascii="Arial" w:hAnsi="Arial"/>
                <w:b/>
                <w:color w:val="FFFFFF"/>
                <w:sz w:val="19"/>
              </w:rPr>
              <w:t>Estimated Volume</w:t>
            </w:r>
          </w:p>
        </w:tc>
      </w:tr>
      <w:tr>
        <w:tc>
          <w:tcPr>
            <w:tcW w:type="dxa" w:w="2592"/>
            <w:shd w:fill="FFFFFF"/>
            <w:tcMar>
              <w:top w:w="100" w:type="dxa"/>
              <w:bottom w:w="100" w:type="dxa"/>
              <w:left w:w="140" w:type="dxa"/>
              <w:right w:w="140" w:type="dxa"/>
            </w:tcMar>
          </w:tcPr>
          <w:p>
            <w:r>
              <w:rPr>
                <w:rFonts w:ascii="Arial" w:hAnsi="Arial"/>
                <w:color w:val="1E2832"/>
                <w:sz w:val="18"/>
              </w:rPr>
              <w:t>Active Directory Domain Controllers</w:t>
            </w:r>
          </w:p>
        </w:tc>
        <w:tc>
          <w:tcPr>
            <w:tcW w:type="dxa" w:w="3600"/>
            <w:shd w:fill="FFFFFF"/>
            <w:tcMar>
              <w:top w:w="100" w:type="dxa"/>
              <w:bottom w:w="100" w:type="dxa"/>
              <w:left w:w="140" w:type="dxa"/>
              <w:right w:w="140" w:type="dxa"/>
            </w:tcMar>
          </w:tcPr>
          <w:p>
            <w:r>
              <w:rPr>
                <w:rFonts w:ascii="Arial" w:hAnsi="Arial"/>
                <w:color w:val="1E2832"/>
                <w:sz w:val="18"/>
              </w:rPr>
              <w:t>Kerberoasting, AS-REP Roasting, DCSync &amp; Trust Audit</w:t>
            </w:r>
          </w:p>
        </w:tc>
        <w:tc>
          <w:tcPr>
            <w:tcW w:type="dxa" w:w="1728"/>
            <w:shd w:fill="FFFFFF"/>
            <w:tcMar>
              <w:top w:w="100" w:type="dxa"/>
              <w:bottom w:w="100" w:type="dxa"/>
              <w:left w:w="140" w:type="dxa"/>
              <w:right w:w="140" w:type="dxa"/>
            </w:tcMar>
          </w:tcPr>
          <w:p>
            <w:r>
              <w:rPr>
                <w:rFonts w:ascii="Arial" w:hAnsi="Arial"/>
                <w:color w:val="1E2832"/>
                <w:sz w:val="18"/>
              </w:rPr>
              <w:t>Orion Pro Virtual Appliance</w:t>
            </w:r>
          </w:p>
        </w:tc>
        <w:tc>
          <w:tcPr>
            <w:tcW w:type="dxa" w:w="1440"/>
            <w:shd w:fill="FFFFFF"/>
            <w:tcMar>
              <w:top w:w="100" w:type="dxa"/>
              <w:bottom w:w="100" w:type="dxa"/>
              <w:left w:w="140" w:type="dxa"/>
              <w:right w:w="140" w:type="dxa"/>
            </w:tcMar>
          </w:tcPr>
          <w:p>
            <w:r>
              <w:rPr>
                <w:rFonts w:ascii="Arial" w:hAnsi="Arial"/>
                <w:color w:val="1E2832"/>
                <w:sz w:val="18"/>
              </w:rPr>
              <w:t>Primary Domain Controllers</w:t>
            </w:r>
          </w:p>
        </w:tc>
      </w:tr>
      <w:tr>
        <w:tc>
          <w:tcPr>
            <w:tcW w:type="dxa" w:w="2592"/>
            <w:shd w:fill="F0F4F8"/>
            <w:tcMar>
              <w:top w:w="100" w:type="dxa"/>
              <w:bottom w:w="100" w:type="dxa"/>
              <w:left w:w="140" w:type="dxa"/>
              <w:right w:w="140" w:type="dxa"/>
            </w:tcMar>
          </w:tcPr>
          <w:p>
            <w:r>
              <w:rPr>
                <w:rFonts w:ascii="Arial" w:hAnsi="Arial"/>
                <w:color w:val="1E2832"/>
                <w:sz w:val="18"/>
              </w:rPr>
              <w:t>Corporate Workstations</w:t>
            </w:r>
          </w:p>
        </w:tc>
        <w:tc>
          <w:tcPr>
            <w:tcW w:type="dxa" w:w="3600"/>
            <w:shd w:fill="F0F4F8"/>
            <w:tcMar>
              <w:top w:w="100" w:type="dxa"/>
              <w:bottom w:w="100" w:type="dxa"/>
              <w:left w:w="140" w:type="dxa"/>
              <w:right w:w="140" w:type="dxa"/>
            </w:tcMar>
          </w:tcPr>
          <w:p>
            <w:r>
              <w:rPr>
                <w:rFonts w:ascii="Arial" w:hAnsi="Arial"/>
                <w:color w:val="1E2832"/>
                <w:sz w:val="18"/>
              </w:rPr>
              <w:t>Privilege Escalation, LSSAS Memory Dumping &amp; Patch Hygiene</w:t>
            </w:r>
          </w:p>
        </w:tc>
        <w:tc>
          <w:tcPr>
            <w:tcW w:type="dxa" w:w="1728"/>
            <w:shd w:fill="F0F4F8"/>
            <w:tcMar>
              <w:top w:w="100" w:type="dxa"/>
              <w:bottom w:w="100" w:type="dxa"/>
              <w:left w:w="140" w:type="dxa"/>
              <w:right w:w="140" w:type="dxa"/>
            </w:tcMar>
          </w:tcPr>
          <w:p>
            <w:r>
              <w:rPr>
                <w:rFonts w:ascii="Arial" w:hAnsi="Arial"/>
                <w:color w:val="1E2832"/>
                <w:sz w:val="18"/>
              </w:rPr>
              <w:t>Grey-Box Internal Agent</w:t>
            </w:r>
          </w:p>
        </w:tc>
        <w:tc>
          <w:tcPr>
            <w:tcW w:type="dxa" w:w="1440"/>
            <w:shd w:fill="F0F4F8"/>
            <w:tcMar>
              <w:top w:w="100" w:type="dxa"/>
              <w:bottom w:w="100" w:type="dxa"/>
              <w:left w:w="140" w:type="dxa"/>
              <w:right w:w="140" w:type="dxa"/>
            </w:tcMar>
          </w:tcPr>
          <w:p>
            <w:r>
              <w:rPr>
                <w:rFonts w:ascii="Arial" w:hAnsi="Arial"/>
                <w:color w:val="1E2832"/>
                <w:sz w:val="18"/>
              </w:rPr>
              <w:t>300 - 400 Workstations</w:t>
            </w:r>
          </w:p>
        </w:tc>
      </w:tr>
      <w:tr>
        <w:tc>
          <w:tcPr>
            <w:tcW w:type="dxa" w:w="2592"/>
            <w:shd w:fill="FFFFFF"/>
            <w:tcMar>
              <w:top w:w="100" w:type="dxa"/>
              <w:bottom w:w="100" w:type="dxa"/>
              <w:left w:w="140" w:type="dxa"/>
              <w:right w:w="140" w:type="dxa"/>
            </w:tcMar>
          </w:tcPr>
          <w:p>
            <w:r>
              <w:rPr>
                <w:rFonts w:ascii="Arial" w:hAnsi="Arial"/>
                <w:color w:val="1E2832"/>
                <w:sz w:val="18"/>
              </w:rPr>
              <w:t>Internal Servers &amp; Storage</w:t>
            </w:r>
          </w:p>
        </w:tc>
        <w:tc>
          <w:tcPr>
            <w:tcW w:type="dxa" w:w="3600"/>
            <w:shd w:fill="FFFFFF"/>
            <w:tcMar>
              <w:top w:w="100" w:type="dxa"/>
              <w:bottom w:w="100" w:type="dxa"/>
              <w:left w:w="140" w:type="dxa"/>
              <w:right w:w="140" w:type="dxa"/>
            </w:tcMar>
          </w:tcPr>
          <w:p>
            <w:r>
              <w:rPr>
                <w:rFonts w:ascii="Arial" w:hAnsi="Arial"/>
                <w:color w:val="1E2832"/>
                <w:sz w:val="18"/>
              </w:rPr>
              <w:t>SYSVOL Plaintext Passwords, SMB Signing &amp; Share Audits</w:t>
            </w:r>
          </w:p>
        </w:tc>
        <w:tc>
          <w:tcPr>
            <w:tcW w:type="dxa" w:w="1728"/>
            <w:shd w:fill="FFFFFF"/>
            <w:tcMar>
              <w:top w:w="100" w:type="dxa"/>
              <w:bottom w:w="100" w:type="dxa"/>
              <w:left w:w="140" w:type="dxa"/>
              <w:right w:w="140" w:type="dxa"/>
            </w:tcMar>
          </w:tcPr>
          <w:p>
            <w:r>
              <w:rPr>
                <w:rFonts w:ascii="Arial" w:hAnsi="Arial"/>
                <w:color w:val="1E2832"/>
                <w:sz w:val="18"/>
              </w:rPr>
              <w:t>Network Sweep &amp; Enumeration</w:t>
            </w:r>
          </w:p>
        </w:tc>
        <w:tc>
          <w:tcPr>
            <w:tcW w:type="dxa" w:w="1440"/>
            <w:shd w:fill="FFFFFF"/>
            <w:tcMar>
              <w:top w:w="100" w:type="dxa"/>
              <w:bottom w:w="100" w:type="dxa"/>
              <w:left w:w="140" w:type="dxa"/>
              <w:right w:w="140" w:type="dxa"/>
            </w:tcMar>
          </w:tcPr>
          <w:p>
            <w:r>
              <w:rPr>
                <w:rFonts w:ascii="Arial" w:hAnsi="Arial"/>
                <w:color w:val="1E2832"/>
                <w:sz w:val="18"/>
              </w:rPr>
              <w:t>20 - 30 Dedicated Servers</w:t>
            </w:r>
          </w:p>
        </w:tc>
      </w:tr>
      <w:tr>
        <w:tc>
          <w:tcPr>
            <w:tcW w:type="dxa" w:w="2592"/>
            <w:shd w:fill="F0F4F8"/>
            <w:tcMar>
              <w:top w:w="100" w:type="dxa"/>
              <w:bottom w:w="100" w:type="dxa"/>
              <w:left w:w="140" w:type="dxa"/>
              <w:right w:w="140" w:type="dxa"/>
            </w:tcMar>
          </w:tcPr>
          <w:p>
            <w:r>
              <w:rPr>
                <w:rFonts w:ascii="Arial" w:hAnsi="Arial"/>
                <w:color w:val="1E2832"/>
                <w:sz w:val="18"/>
              </w:rPr>
              <w:t>Network Switches &amp; Firewalls</w:t>
            </w:r>
          </w:p>
        </w:tc>
        <w:tc>
          <w:tcPr>
            <w:tcW w:type="dxa" w:w="3600"/>
            <w:shd w:fill="F0F4F8"/>
            <w:tcMar>
              <w:top w:w="100" w:type="dxa"/>
              <w:bottom w:w="100" w:type="dxa"/>
              <w:left w:w="140" w:type="dxa"/>
              <w:right w:w="140" w:type="dxa"/>
            </w:tcMar>
          </w:tcPr>
          <w:p>
            <w:r>
              <w:rPr>
                <w:rFonts w:ascii="Arial" w:hAnsi="Arial"/>
                <w:color w:val="1E2832"/>
                <w:sz w:val="18"/>
              </w:rPr>
              <w:t>VLAN Segmentation &amp; Management Interface Security</w:t>
            </w:r>
          </w:p>
        </w:tc>
        <w:tc>
          <w:tcPr>
            <w:tcW w:type="dxa" w:w="1728"/>
            <w:shd w:fill="F0F4F8"/>
            <w:tcMar>
              <w:top w:w="100" w:type="dxa"/>
              <w:bottom w:w="100" w:type="dxa"/>
              <w:left w:w="140" w:type="dxa"/>
              <w:right w:w="140" w:type="dxa"/>
            </w:tcMar>
          </w:tcPr>
          <w:p>
            <w:r>
              <w:rPr>
                <w:rFonts w:ascii="Arial" w:hAnsi="Arial"/>
                <w:color w:val="1E2832"/>
                <w:sz w:val="18"/>
              </w:rPr>
              <w:t>Config &amp; Protocol Audit</w:t>
            </w:r>
          </w:p>
        </w:tc>
        <w:tc>
          <w:tcPr>
            <w:tcW w:type="dxa" w:w="1440"/>
            <w:shd w:fill="F0F4F8"/>
            <w:tcMar>
              <w:top w:w="100" w:type="dxa"/>
              <w:bottom w:w="100" w:type="dxa"/>
              <w:left w:w="140" w:type="dxa"/>
              <w:right w:w="140" w:type="dxa"/>
            </w:tcMar>
          </w:tcPr>
          <w:p>
            <w:r>
              <w:rPr>
                <w:rFonts w:ascii="Arial" w:hAnsi="Arial"/>
                <w:color w:val="1E2832"/>
                <w:sz w:val="18"/>
              </w:rPr>
              <w:t>Core Switches &amp; Routers</w:t>
            </w:r>
          </w:p>
        </w:tc>
      </w:tr>
    </w:tbl>
    <w:p/>
    <w:p>
      <w:pPr>
        <w:pStyle w:val="Heading1"/>
        <w:spacing w:before="320" w:after="160"/>
      </w:pPr>
      <w:r>
        <w:rPr>
          <w:rFonts w:ascii="Arial" w:hAnsi="Arial"/>
          <w:b/>
          <w:color w:val="050D1A"/>
          <w:sz w:val="32"/>
        </w:rPr>
        <w:t>4. Testing Methodology</w:t>
      </w:r>
    </w:p>
    <w:p>
      <w:r>
        <w:rPr>
          <w:sz w:val="19"/>
        </w:rPr>
        <w:t>Our Internal Network Penetration Testing methodology follows five rigorous phases:</w:t>
        <w:br/>
        <w:br/>
        <w:t>1. Internal Reconnaissance &amp; Discovery: Subnet sweeps, active directory user/group enumeration, LLMNR/NBT-NS sniffing, and service discovery.</w:t>
        <w:br/>
        <w:t>2. Active Directory Threat Audit: Evaluating Kerberoastable service accounts, weak SPN encryption, null sessions, and SYSVOL GPO credential leaks.</w:t>
        <w:br/>
        <w:t>3. Privilege Escalation &amp; Exploitation: Simulating local administrator credential dumping, Man-in-the-Middle (MitM) relay attacks, and exploiting unpatched internal vulnerabilities.</w:t>
        <w:br/>
        <w:t>4. Lateral Movement &amp; Attack Path Mapping: Mapping BloodHound attack paths from standard user workstation access to full Domain Admin compromise.</w:t>
        <w:br/>
        <w:t>5. Sub-Second Ransomware Defense Validation: Verifying endpoint isolation speed and network segmentation controls.</w:t>
      </w:r>
    </w:p>
    <w:p>
      <w:pPr>
        <w:pStyle w:val="Heading1"/>
        <w:spacing w:before="320" w:after="160"/>
      </w:pPr>
      <w:r>
        <w:rPr>
          <w:rFonts w:ascii="Arial" w:hAnsi="Arial"/>
          <w:b/>
          <w:color w:val="050D1A"/>
          <w:sz w:val="32"/>
        </w:rPr>
        <w:t>5. Pricing &amp; Investment Schedule</w:t>
      </w:r>
    </w:p>
    <w:tbl>
      <w:tblPr>
        <w:tblW w:type="auto" w:w="0"/>
        <w:jc w:val="center"/>
        <w:tblLook w:firstColumn="1" w:firstRow="1" w:lastColumn="0" w:lastRow="0" w:noHBand="0" w:noVBand="1" w:val="04A0"/>
      </w:tblPr>
      <w:tblGrid>
        <w:gridCol w:w="2160"/>
        <w:gridCol w:w="2160"/>
        <w:gridCol w:w="2160"/>
        <w:gridCol w:w="2160"/>
      </w:tblGrid>
      <w:tr>
        <w:tc>
          <w:tcPr>
            <w:tcW w:type="dxa" w:w="4032"/>
            <w:shd w:fill="050D1A"/>
            <w:tcMar>
              <w:top w:w="140" w:type="dxa"/>
              <w:bottom w:w="140" w:type="dxa"/>
              <w:left w:w="160" w:type="dxa"/>
              <w:right w:w="160" w:type="dxa"/>
            </w:tcMar>
          </w:tcPr>
          <w:p>
            <w:pPr>
              <w:jc w:val="left"/>
            </w:pPr>
            <w:r>
              <w:rPr>
                <w:rFonts w:ascii="Arial" w:hAnsi="Arial"/>
                <w:b/>
                <w:color w:val="FFFFFF"/>
                <w:sz w:val="19"/>
              </w:rPr>
              <w:t>Service Component</w:t>
            </w:r>
          </w:p>
        </w:tc>
        <w:tc>
          <w:tcPr>
            <w:tcW w:type="dxa" w:w="1440"/>
            <w:shd w:fill="050D1A"/>
            <w:tcMar>
              <w:top w:w="140" w:type="dxa"/>
              <w:bottom w:w="140" w:type="dxa"/>
              <w:left w:w="160" w:type="dxa"/>
              <w:right w:w="160" w:type="dxa"/>
            </w:tcMar>
          </w:tcPr>
          <w:p>
            <w:pPr>
              <w:jc w:val="left"/>
            </w:pPr>
            <w:r>
              <w:rPr>
                <w:rFonts w:ascii="Arial" w:hAnsi="Arial"/>
                <w:b/>
                <w:color w:val="FFFFFF"/>
                <w:sz w:val="19"/>
              </w:rPr>
              <w:t>Duration</w:t>
            </w:r>
          </w:p>
        </w:tc>
        <w:tc>
          <w:tcPr>
            <w:tcW w:type="dxa" w:w="1872"/>
            <w:shd w:fill="050D1A"/>
            <w:tcMar>
              <w:top w:w="140" w:type="dxa"/>
              <w:bottom w:w="140" w:type="dxa"/>
              <w:left w:w="160" w:type="dxa"/>
              <w:right w:w="160" w:type="dxa"/>
            </w:tcMar>
          </w:tcPr>
          <w:p>
            <w:pPr>
              <w:jc w:val="left"/>
            </w:pPr>
            <w:r>
              <w:rPr>
                <w:rFonts w:ascii="Arial" w:hAnsi="Arial"/>
                <w:b/>
                <w:color w:val="FFFFFF"/>
                <w:sz w:val="19"/>
              </w:rPr>
              <w:t>Daily Rate (ex-GST)</w:t>
            </w:r>
          </w:p>
        </w:tc>
        <w:tc>
          <w:tcPr>
            <w:tcW w:type="dxa" w:w="2016"/>
            <w:shd w:fill="050D1A"/>
            <w:tcMar>
              <w:top w:w="140" w:type="dxa"/>
              <w:bottom w:w="140" w:type="dxa"/>
              <w:left w:w="160" w:type="dxa"/>
              <w:right w:w="160" w:type="dxa"/>
            </w:tcMar>
          </w:tcPr>
          <w:p>
            <w:pPr>
              <w:jc w:val="left"/>
            </w:pPr>
            <w:r>
              <w:rPr>
                <w:rFonts w:ascii="Arial" w:hAnsi="Arial"/>
                <w:b/>
                <w:color w:val="FFFFFF"/>
                <w:sz w:val="19"/>
              </w:rPr>
              <w:t>Total Price (ex-GST)</w:t>
            </w:r>
          </w:p>
        </w:tc>
      </w:tr>
      <w:tr>
        <w:tc>
          <w:tcPr>
            <w:tcW w:type="dxa" w:w="4032"/>
            <w:shd w:fill="FFFFFF"/>
            <w:tcMar>
              <w:top w:w="100" w:type="dxa"/>
              <w:bottom w:w="100" w:type="dxa"/>
              <w:left w:w="140" w:type="dxa"/>
              <w:right w:w="140" w:type="dxa"/>
            </w:tcMar>
          </w:tcPr>
          <w:p>
            <w:r>
              <w:rPr>
                <w:rFonts w:ascii="Arial" w:hAnsi="Arial"/>
                <w:color w:val="1E2832"/>
                <w:sz w:val="18"/>
              </w:rPr>
              <w:t>Internal Network Discovery &amp; Active Directory Audit</w:t>
            </w:r>
          </w:p>
        </w:tc>
        <w:tc>
          <w:tcPr>
            <w:tcW w:type="dxa" w:w="1440"/>
            <w:shd w:fill="FFFFFF"/>
            <w:tcMar>
              <w:top w:w="100" w:type="dxa"/>
              <w:bottom w:w="100" w:type="dxa"/>
              <w:left w:w="140" w:type="dxa"/>
              <w:right w:w="140" w:type="dxa"/>
            </w:tcMar>
          </w:tcPr>
          <w:p>
            <w:r>
              <w:rPr>
                <w:rFonts w:ascii="Arial" w:hAnsi="Arial"/>
                <w:color w:val="1E2832"/>
                <w:sz w:val="18"/>
              </w:rPr>
              <w:t>3 Days</w:t>
            </w:r>
          </w:p>
        </w:tc>
        <w:tc>
          <w:tcPr>
            <w:tcW w:type="dxa" w:w="1872"/>
            <w:shd w:fill="FFFFFF"/>
            <w:tcMar>
              <w:top w:w="100" w:type="dxa"/>
              <w:bottom w:w="100" w:type="dxa"/>
              <w:left w:w="140" w:type="dxa"/>
              <w:right w:w="140" w:type="dxa"/>
            </w:tcMar>
          </w:tcPr>
          <w:p>
            <w:r>
              <w:rPr>
                <w:rFonts w:ascii="Arial" w:hAnsi="Arial"/>
                <w:color w:val="1E2832"/>
                <w:sz w:val="18"/>
              </w:rPr>
              <w:t>$1,600</w:t>
            </w:r>
          </w:p>
        </w:tc>
        <w:tc>
          <w:tcPr>
            <w:tcW w:type="dxa" w:w="2016"/>
            <w:shd w:fill="FFFFFF"/>
            <w:tcMar>
              <w:top w:w="100" w:type="dxa"/>
              <w:bottom w:w="100" w:type="dxa"/>
              <w:left w:w="140" w:type="dxa"/>
              <w:right w:w="140" w:type="dxa"/>
            </w:tcMar>
          </w:tcPr>
          <w:p>
            <w:r>
              <w:rPr>
                <w:rFonts w:ascii="Arial" w:hAnsi="Arial"/>
                <w:color w:val="1E2832"/>
                <w:sz w:val="18"/>
              </w:rPr>
              <w:t>$4,800</w:t>
            </w:r>
          </w:p>
        </w:tc>
      </w:tr>
      <w:tr>
        <w:tc>
          <w:tcPr>
            <w:tcW w:type="dxa" w:w="4032"/>
            <w:shd w:fill="F0F4F8"/>
            <w:tcMar>
              <w:top w:w="100" w:type="dxa"/>
              <w:bottom w:w="100" w:type="dxa"/>
              <w:left w:w="140" w:type="dxa"/>
              <w:right w:w="140" w:type="dxa"/>
            </w:tcMar>
          </w:tcPr>
          <w:p>
            <w:r>
              <w:rPr>
                <w:rFonts w:ascii="Arial" w:hAnsi="Arial"/>
                <w:color w:val="1E2832"/>
                <w:sz w:val="18"/>
              </w:rPr>
              <w:t>Privilege Escalation &amp; Lateral Movement Simulation</w:t>
            </w:r>
          </w:p>
        </w:tc>
        <w:tc>
          <w:tcPr>
            <w:tcW w:type="dxa" w:w="1440"/>
            <w:shd w:fill="F0F4F8"/>
            <w:tcMar>
              <w:top w:w="100" w:type="dxa"/>
              <w:bottom w:w="100" w:type="dxa"/>
              <w:left w:w="140" w:type="dxa"/>
              <w:right w:w="140" w:type="dxa"/>
            </w:tcMar>
          </w:tcPr>
          <w:p>
            <w:r>
              <w:rPr>
                <w:rFonts w:ascii="Arial" w:hAnsi="Arial"/>
                <w:color w:val="1E2832"/>
                <w:sz w:val="18"/>
              </w:rPr>
              <w:t>3 Days</w:t>
            </w:r>
          </w:p>
        </w:tc>
        <w:tc>
          <w:tcPr>
            <w:tcW w:type="dxa" w:w="1872"/>
            <w:shd w:fill="F0F4F8"/>
            <w:tcMar>
              <w:top w:w="100" w:type="dxa"/>
              <w:bottom w:w="100" w:type="dxa"/>
              <w:left w:w="140" w:type="dxa"/>
              <w:right w:w="140" w:type="dxa"/>
            </w:tcMar>
          </w:tcPr>
          <w:p>
            <w:r>
              <w:rPr>
                <w:rFonts w:ascii="Arial" w:hAnsi="Arial"/>
                <w:color w:val="1E2832"/>
                <w:sz w:val="18"/>
              </w:rPr>
              <w:t>$1,600</w:t>
            </w:r>
          </w:p>
        </w:tc>
        <w:tc>
          <w:tcPr>
            <w:tcW w:type="dxa" w:w="2016"/>
            <w:shd w:fill="F0F4F8"/>
            <w:tcMar>
              <w:top w:w="100" w:type="dxa"/>
              <w:bottom w:w="100" w:type="dxa"/>
              <w:left w:w="140" w:type="dxa"/>
              <w:right w:w="140" w:type="dxa"/>
            </w:tcMar>
          </w:tcPr>
          <w:p>
            <w:r>
              <w:rPr>
                <w:rFonts w:ascii="Arial" w:hAnsi="Arial"/>
                <w:color w:val="1E2832"/>
                <w:sz w:val="18"/>
              </w:rPr>
              <w:t>$4,800</w:t>
            </w:r>
          </w:p>
        </w:tc>
      </w:tr>
      <w:tr>
        <w:tc>
          <w:tcPr>
            <w:tcW w:type="dxa" w:w="4032"/>
            <w:shd w:fill="FFFFFF"/>
            <w:tcMar>
              <w:top w:w="100" w:type="dxa"/>
              <w:bottom w:w="100" w:type="dxa"/>
              <w:left w:w="140" w:type="dxa"/>
              <w:right w:w="140" w:type="dxa"/>
            </w:tcMar>
          </w:tcPr>
          <w:p>
            <w:r>
              <w:rPr>
                <w:rFonts w:ascii="Arial" w:hAnsi="Arial"/>
                <w:color w:val="1E2832"/>
                <w:sz w:val="18"/>
              </w:rPr>
              <w:t>Orion Pro Appliance Deployment &amp; Report Compilation</w:t>
            </w:r>
          </w:p>
        </w:tc>
        <w:tc>
          <w:tcPr>
            <w:tcW w:type="dxa" w:w="1440"/>
            <w:shd w:fill="FFFFFF"/>
            <w:tcMar>
              <w:top w:w="100" w:type="dxa"/>
              <w:bottom w:w="100" w:type="dxa"/>
              <w:left w:w="140" w:type="dxa"/>
              <w:right w:w="140" w:type="dxa"/>
            </w:tcMar>
          </w:tcPr>
          <w:p>
            <w:r>
              <w:rPr>
                <w:rFonts w:ascii="Arial" w:hAnsi="Arial"/>
                <w:color w:val="1E2832"/>
                <w:sz w:val="18"/>
              </w:rPr>
              <w:t>1 Day</w:t>
            </w:r>
          </w:p>
        </w:tc>
        <w:tc>
          <w:tcPr>
            <w:tcW w:type="dxa" w:w="1872"/>
            <w:shd w:fill="FFFFFF"/>
            <w:tcMar>
              <w:top w:w="100" w:type="dxa"/>
              <w:bottom w:w="100" w:type="dxa"/>
              <w:left w:w="140" w:type="dxa"/>
              <w:right w:w="140" w:type="dxa"/>
            </w:tcMar>
          </w:tcPr>
          <w:p>
            <w:r>
              <w:rPr>
                <w:rFonts w:ascii="Arial" w:hAnsi="Arial"/>
                <w:color w:val="1E2832"/>
                <w:sz w:val="18"/>
              </w:rPr>
              <w:t>$1,600</w:t>
            </w:r>
          </w:p>
        </w:tc>
        <w:tc>
          <w:tcPr>
            <w:tcW w:type="dxa" w:w="2016"/>
            <w:shd w:fill="FFFFFF"/>
            <w:tcMar>
              <w:top w:w="100" w:type="dxa"/>
              <w:bottom w:w="100" w:type="dxa"/>
              <w:left w:w="140" w:type="dxa"/>
              <w:right w:w="140" w:type="dxa"/>
            </w:tcMar>
          </w:tcPr>
          <w:p>
            <w:r>
              <w:rPr>
                <w:rFonts w:ascii="Arial" w:hAnsi="Arial"/>
                <w:color w:val="1E2832"/>
                <w:sz w:val="18"/>
              </w:rPr>
              <w:t>$1,600</w:t>
            </w:r>
          </w:p>
        </w:tc>
      </w:tr>
      <w:tr>
        <w:tc>
          <w:tcPr>
            <w:tcW w:type="dxa" w:w="4032"/>
            <w:shd w:fill="F0F4F8"/>
            <w:tcMar>
              <w:top w:w="100" w:type="dxa"/>
              <w:bottom w:w="100" w:type="dxa"/>
              <w:left w:w="140" w:type="dxa"/>
              <w:right w:w="140" w:type="dxa"/>
            </w:tcMar>
          </w:tcPr>
          <w:p>
            <w:r>
              <w:rPr>
                <w:rFonts w:ascii="Arial" w:hAnsi="Arial"/>
                <w:color w:val="1E2832"/>
                <w:sz w:val="18"/>
              </w:rPr>
              <w:t>TOTAL INVESTMENT</w:t>
            </w:r>
          </w:p>
        </w:tc>
        <w:tc>
          <w:tcPr>
            <w:tcW w:type="dxa" w:w="1440"/>
            <w:shd w:fill="F0F4F8"/>
            <w:tcMar>
              <w:top w:w="100" w:type="dxa"/>
              <w:bottom w:w="100" w:type="dxa"/>
              <w:left w:w="140" w:type="dxa"/>
              <w:right w:w="140" w:type="dxa"/>
            </w:tcMar>
          </w:tcPr>
          <w:p>
            <w:r>
              <w:rPr>
                <w:rFonts w:ascii="Arial" w:hAnsi="Arial"/>
                <w:color w:val="1E2832"/>
                <w:sz w:val="18"/>
              </w:rPr>
              <w:t>7 Days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$11,200 AUD</w:t>
            </w:r>
          </w:p>
        </w:tc>
      </w:tr>
      <w:tr>
        <w:tc>
          <w:tcPr>
            <w:tcW w:type="dxa" w:w="4032"/>
            <w:shd w:fill="FFFFFF"/>
            <w:tcMar>
              <w:top w:w="100" w:type="dxa"/>
              <w:bottom w:w="100" w:type="dxa"/>
              <w:left w:w="140" w:type="dxa"/>
              <w:right w:w="140" w:type="dxa"/>
            </w:tcMar>
          </w:tcPr>
          <w:p>
            <w:r>
              <w:rPr>
                <w:rFonts w:ascii="Arial" w:hAnsi="Arial"/>
                <w:color w:val="1E2832"/>
                <w:sz w:val="18"/>
              </w:rPr>
              <w:t>GST (10%)</w:t>
            </w:r>
          </w:p>
        </w:tc>
        <w:tc>
          <w:tcPr>
            <w:tcW w:type="dxa" w:w="1440"/>
            <w:shd w:fill="FFFFFF"/>
            <w:tcMar>
              <w:top w:w="100" w:type="dxa"/>
              <w:bottom w:w="100" w:type="dxa"/>
              <w:left w:w="140" w:type="dxa"/>
              <w:right w:w="140" w:type="dxa"/>
            </w:tcMar>
          </w:tcPr>
          <w:p>
            <w:r>
              <w:rPr>
                <w:rFonts w:ascii="Arial" w:hAnsi="Arial"/>
                <w:color w:val="1E2832"/>
                <w:sz w:val="18"/>
              </w:rPr>
              <w:t>-</w:t>
            </w:r>
          </w:p>
        </w:tc>
        <w:tc>
          <w:tcPr>
            <w:tcW w:type="dxa" w:w="1872"/>
            <w:shd w:fill="FFFFFF"/>
            <w:tcMar>
              <w:top w:w="100" w:type="dxa"/>
              <w:bottom w:w="100" w:type="dxa"/>
              <w:left w:w="140" w:type="dxa"/>
              <w:right w:w="140" w:type="dxa"/>
            </w:tcMar>
          </w:tcPr>
          <w:p>
            <w:r>
              <w:rPr>
                <w:rFonts w:ascii="Arial" w:hAnsi="Arial"/>
                <w:color w:val="1E2832"/>
                <w:sz w:val="18"/>
              </w:rPr>
              <w:t>-</w:t>
            </w:r>
          </w:p>
        </w:tc>
        <w:tc>
          <w:tcPr>
            <w:tcW w:type="dxa" w:w="2016"/>
            <w:shd w:fill="FFFFFF"/>
            <w:tcMar>
              <w:top w:w="100" w:type="dxa"/>
              <w:bottom w:w="100" w:type="dxa"/>
              <w:left w:w="140" w:type="dxa"/>
              <w:right w:w="140" w:type="dxa"/>
            </w:tcMar>
          </w:tcPr>
          <w:p>
            <w:r>
              <w:rPr>
                <w:rFonts w:ascii="Arial" w:hAnsi="Arial"/>
                <w:color w:val="1E2832"/>
                <w:sz w:val="18"/>
              </w:rPr>
              <w:t>$1,120 AUD</w:t>
            </w:r>
          </w:p>
        </w:tc>
      </w:tr>
      <w:tr>
        <w:tc>
          <w:tcPr>
            <w:tcW w:type="dxa" w:w="4032"/>
            <w:shd w:fill="F0F4F8"/>
            <w:tcMar>
              <w:top w:w="100" w:type="dxa"/>
              <w:bottom w:w="100" w:type="dxa"/>
              <w:left w:w="140" w:type="dxa"/>
              <w:right w:w="140" w:type="dxa"/>
            </w:tcMar>
          </w:tcPr>
          <w:p>
            <w:r>
              <w:rPr>
                <w:rFonts w:ascii="Arial" w:hAnsi="Arial"/>
                <w:color w:val="1E2832"/>
                <w:sz w:val="18"/>
              </w:rPr>
              <w:t>TOTAL INCLUDING GST</w:t>
            </w:r>
          </w:p>
        </w:tc>
        <w:tc>
          <w:tcPr>
            <w:tcW w:type="dxa" w:w="1440"/>
            <w:shd w:fill="F0F4F8"/>
            <w:tcMar>
              <w:top w:w="100" w:type="dxa"/>
              <w:bottom w:w="100" w:type="dxa"/>
              <w:left w:w="140" w:type="dxa"/>
              <w:right w:w="140" w:type="dxa"/>
            </w:tcMar>
          </w:tcPr>
          <w:p>
            <w:r>
              <w:rPr>
                <w:rFonts w:ascii="Arial" w:hAnsi="Arial"/>
                <w:color w:val="1E2832"/>
                <w:sz w:val="18"/>
              </w:rPr>
              <w:t>7 Days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$12,320 AUD</w:t>
            </w:r>
          </w:p>
        </w:tc>
      </w:tr>
    </w:tbl>
    <w:p/>
    <w:p>
      <w:pPr>
        <w:pStyle w:val="Heading1"/>
        <w:spacing w:before="320" w:after="160"/>
      </w:pPr>
      <w:r>
        <w:rPr>
          <w:rFonts w:ascii="Arial" w:hAnsi="Arial"/>
          <w:b/>
          <w:color w:val="050D1A"/>
          <w:sz w:val="32"/>
        </w:rPr>
        <w:t>6. Formal Project Deliverables</w:t>
      </w:r>
    </w:p>
    <w:p>
      <w:r>
        <w:rPr>
          <w:sz w:val="19"/>
        </w:rPr>
        <w:t>• Executive Summary Report: High-level overview of internal network risk exposure and domain admin path analysis.</w:t>
        <w:br/>
        <w:t>• Technical Findings &amp; Remediation Report: Detailed Active Directory hardening steps, GPO fixes, and SMB/Kerberos configurations.</w:t>
        <w:br/>
        <w:t>• Attack Path Graph: Visual diagram showing exact compromise steps from initial host to domain admin.</w:t>
        <w:br/>
        <w:t>• Retest &amp; Remediated Status Presentation.</w:t>
      </w:r>
    </w:p>
    <w:p>
      <w:pPr>
        <w:pStyle w:val="Heading1"/>
        <w:spacing w:before="320" w:after="160"/>
      </w:pPr>
      <w:r>
        <w:rPr>
          <w:rFonts w:ascii="Arial" w:hAnsi="Arial"/>
          <w:b/>
          <w:color w:val="050D1A"/>
          <w:sz w:val="32"/>
        </w:rPr>
        <w:t>7. Key Personnel &amp; Founder Profile</w:t>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40" w:type="dxa"/>
              <w:right w:w="140" w:type="dxa"/>
            </w:tcMar>
          </w:tcPr>
          <w:p>
            <w:r>
              <w:rPr>
                <w:b/>
                <w:color w:val="00F5FF"/>
                <w:sz w:val="23"/>
              </w:rPr>
              <w:t>MO QASIM</w:t>
              <w:br/>
            </w:r>
            <w:r>
              <w:rPr>
                <w:color w:val="DCE6F0"/>
                <w:sz w:val="18"/>
              </w:rPr>
              <w:t>Founder &amp; Principal Consultant</w:t>
              <w:br/>
              <w:t>Senior Cyber Security Specialist</w:t>
              <w:br/>
              <w:br/>
            </w:r>
            <w:r>
              <w:rPr>
                <w:color w:val="B4C8DC"/>
                <w:sz w:val="17"/>
              </w:rPr>
              <w:t>CLEARANCE:</w:t>
              <w:br/>
              <w:t>NV2 (Negative Vetting 2)</w:t>
              <w:br/>
              <w:br/>
              <w:t>EDUCATION:</w:t>
              <w:br/>
              <w:t>Masters in Cyber Security Engineering (UNSW)</w:t>
              <w:br/>
              <w:br/>
              <w:t>LOCATION:</w:t>
              <w:br/>
              <w:t>Sydney, NSW</w:t>
              <w:br/>
              <w:br/>
              <w:t>CONTACT:</w:t>
              <w:br/>
              <w:t>mo@forcefortitude.com</w:t>
            </w:r>
          </w:p>
        </w:tc>
        <w:tc>
          <w:tcPr>
            <w:tcW w:type="dxa" w:w="6192"/>
            <w:shd w:fill="F8FAFC"/>
            <w:tcMar>
              <w:top w:w="140" w:type="dxa"/>
              <w:bottom w:w="140" w:type="dxa"/>
              <w:left w:w="160" w:type="dxa"/>
              <w:right w:w="160" w:type="dxa"/>
            </w:tcMar>
          </w:tcPr>
          <w:p>
            <w:r>
              <w:rPr>
                <w:b/>
                <w:color w:val="050D1A"/>
                <w:sz w:val="20"/>
              </w:rPr>
              <w:t>Professional Summary &amp; Defence Pedigree:</w:t>
              <w:br/>
            </w:r>
          </w:p>
          <w:p>
            <w:pPr>
              <w:spacing w:before="80"/>
            </w:pPr>
            <w:r>
              <w:rPr>
                <w:color w:val="28323C"/>
                <w:sz w:val="17"/>
              </w:rPr>
              <w:t>Mo Qasim is a Cyber Governance and Penetration Testing Specialist holding an active NV2 Security Clearance with over a decade of experience across the Australian Defence Force (Air Force / RAAF), government entities, healthcare, and enterprise networks.</w:t>
              <w:br/>
              <w:br/>
              <w:t>Former Systems &amp; Cyberspace Security Integration Analyst for domestic and international Defence operations across Protected and Secret domains. Experienced in conducting internal, external, web application, API, mobile (iOS/Android) penetration testing, and digital forensics scrutiny.</w:t>
              <w:br/>
              <w:br/>
              <w:t>Certifications &amp; ADF Training:</w:t>
              <w:br/>
              <w:t>• Information Technology Security Officers Course (Defence Force Cyber College 2024)</w:t>
              <w:br/>
              <w:t>• ISMS Lead Auditor (Defence Force Cyber College 2024)</w:t>
              <w:br/>
              <w:t>• Joint Vulnerability Assessment Analyst (Defence Force Cyber College 2023)</w:t>
              <w:br/>
              <w:t>• Essential Eight Assessment Specialist (TAFE NSW 2023)</w:t>
              <w:br/>
              <w:t>• CCNA 1, 2 &amp; 3 Scaling Networks | MOC Virtualization &amp; Cloud Security</w:t>
              <w:br/>
              <w:br/>
              <w:t>Recognised Bug Bounty &amp; Vulnerability Disclosure Researcher:</w:t>
              <w:br/>
              <w:t>• Attorney-General's Department</w:t>
              <w:br/>
              <w:t>• Australia Post</w:t>
              <w:br/>
              <w:t>• Western Australia Department of Education &amp; WA Office of Digital Government</w:t>
              <w:br/>
              <w:t>• Australian Department of Health &amp; Australian Institute of Health &amp; Welfare</w:t>
              <w:br/>
              <w:br/>
              <w:t>Honours &amp; Medals:</w:t>
              <w:br/>
              <w:t>• Australian Defence Medal</w:t>
              <w:br/>
              <w:t>• Australian Operational Service Medal (Greater Middle East Operation)</w:t>
              <w:br/>
              <w:t>• Operational Service Badge (Military) | Air Force Appreciation Medal</w:t>
            </w:r>
          </w:p>
        </w:tc>
      </w:tr>
    </w:tbl>
    <w:p/>
    <w:p>
      <w:pPr>
        <w:pStyle w:val="Heading1"/>
        <w:spacing w:before="320" w:after="160"/>
      </w:pPr>
      <w:r>
        <w:rPr>
          <w:rFonts w:ascii="Arial" w:hAnsi="Arial"/>
          <w:b/>
          <w:color w:val="050D1A"/>
          <w:sz w:val="32"/>
        </w:rPr>
        <w:t>8. Terms &amp; Conditions</w:t>
      </w:r>
    </w:p>
    <w:p>
      <w:pPr>
        <w:pStyle w:val="Heading3"/>
        <w:spacing w:before="200" w:after="80"/>
      </w:pPr>
      <w:r>
        <w:rPr>
          <w:rFonts w:ascii="Arial" w:hAnsi="Arial"/>
          <w:b/>
          <w:color w:val="283246"/>
          <w:sz w:val="22"/>
        </w:rPr>
        <w:t>1. Definitions &amp; Interpretation</w:t>
      </w:r>
    </w:p>
    <w:p>
      <w:pPr>
        <w:spacing w:after="60"/>
      </w:pPr>
      <w:r>
        <w:rPr>
          <w:rFonts w:ascii="Arial" w:hAnsi="Arial"/>
          <w:color w:val="323C46"/>
          <w:sz w:val="17"/>
        </w:rPr>
        <w:t>In this agreement, 'Force Fortitude' means Force Fortitude Pty Ltd (ABN 42 691 602 276). 'Customer' means the entity listed in the Document Control schedule. 'Services' means the cybersecurity consulting and testing services described herein.</w:t>
      </w:r>
    </w:p>
    <w:p>
      <w:pPr>
        <w:pStyle w:val="Heading3"/>
        <w:spacing w:before="200" w:after="80"/>
      </w:pPr>
      <w:r>
        <w:rPr>
          <w:rFonts w:ascii="Arial" w:hAnsi="Arial"/>
          <w:b/>
          <w:color w:val="283246"/>
          <w:sz w:val="22"/>
        </w:rPr>
        <w:t>2. Engagement &amp; Scope</w:t>
      </w:r>
    </w:p>
    <w:p>
      <w:pPr>
        <w:spacing w:after="60"/>
      </w:pPr>
      <w:r>
        <w:rPr>
          <w:rFonts w:ascii="Arial" w:hAnsi="Arial"/>
          <w:color w:val="323C46"/>
          <w:sz w:val="17"/>
        </w:rPr>
        <w:t>Force Fortitude agrees to perform the Services in a professional, timely, and workmanlike manner using qualified security personnel holding relevant industry certifications and security clearances.</w:t>
      </w:r>
    </w:p>
    <w:p>
      <w:pPr>
        <w:pStyle w:val="Heading3"/>
        <w:spacing w:before="200" w:after="80"/>
      </w:pPr>
      <w:r>
        <w:rPr>
          <w:rFonts w:ascii="Arial" w:hAnsi="Arial"/>
          <w:b/>
          <w:color w:val="283246"/>
          <w:sz w:val="22"/>
        </w:rPr>
        <w:t>3. Client Authorization &amp; Access</w:t>
      </w:r>
    </w:p>
    <w:p>
      <w:pPr>
        <w:spacing w:after="60"/>
      </w:pPr>
      <w:r>
        <w:rPr>
          <w:rFonts w:ascii="Arial" w:hAnsi="Arial"/>
          <w:color w:val="323C46"/>
          <w:sz w:val="17"/>
        </w:rPr>
        <w:t>The Customer warrants that it has full legal authority to authorize Force Fortitude to conduct security testing, vulnerability scanning, and evidence analysis on the designated systems and scope listed in Section 3.</w:t>
      </w:r>
    </w:p>
    <w:p>
      <w:pPr>
        <w:pStyle w:val="Heading3"/>
        <w:spacing w:before="200" w:after="80"/>
      </w:pPr>
      <w:r>
        <w:rPr>
          <w:rFonts w:ascii="Arial" w:hAnsi="Arial"/>
          <w:b/>
          <w:color w:val="283246"/>
          <w:sz w:val="22"/>
        </w:rPr>
        <w:t>4. Confidentiality &amp; Non-Disclosure</w:t>
      </w:r>
    </w:p>
    <w:p>
      <w:pPr>
        <w:spacing w:after="60"/>
      </w:pPr>
      <w:r>
        <w:rPr>
          <w:rFonts w:ascii="Arial" w:hAnsi="Arial"/>
          <w:color w:val="323C46"/>
          <w:sz w:val="17"/>
        </w:rPr>
        <w:t>All information, data, findings, and reports generated during the engagement shall remain strictly confidential. Force Fortitude stores all test data in hardware-encrypted, Australian-sovereign environments complying with the Privacy Act 1988 (Cth).</w:t>
      </w:r>
    </w:p>
    <w:p>
      <w:pPr>
        <w:pStyle w:val="Heading3"/>
        <w:spacing w:before="200" w:after="80"/>
      </w:pPr>
      <w:r>
        <w:rPr>
          <w:rFonts w:ascii="Arial" w:hAnsi="Arial"/>
          <w:b/>
          <w:color w:val="283246"/>
          <w:sz w:val="22"/>
        </w:rPr>
        <w:t>5. Deliverables &amp; Acceptance</w:t>
      </w:r>
    </w:p>
    <w:p>
      <w:pPr>
        <w:spacing w:after="60"/>
      </w:pPr>
      <w:r>
        <w:rPr>
          <w:rFonts w:ascii="Arial" w:hAnsi="Arial"/>
          <w:color w:val="323C46"/>
          <w:sz w:val="17"/>
        </w:rPr>
        <w:t>Force Fortitude will issue draft executive and technical findings reports upon completion. The Customer has fourteen (14) business days to provide review feedback prior to final report issuance.</w:t>
      </w:r>
    </w:p>
    <w:p>
      <w:pPr>
        <w:pStyle w:val="Heading3"/>
        <w:spacing w:before="200" w:after="80"/>
      </w:pPr>
      <w:r>
        <w:rPr>
          <w:rFonts w:ascii="Arial" w:hAnsi="Arial"/>
          <w:b/>
          <w:color w:val="283246"/>
          <w:sz w:val="22"/>
        </w:rPr>
        <w:t>6. Fees, Pricing &amp; Payment</w:t>
      </w:r>
    </w:p>
    <w:p>
      <w:pPr>
        <w:spacing w:after="60"/>
      </w:pPr>
      <w:r>
        <w:rPr>
          <w:rFonts w:ascii="Arial" w:hAnsi="Arial"/>
          <w:color w:val="323C46"/>
          <w:sz w:val="17"/>
        </w:rPr>
        <w:t>Fees are quoted in Australian Dollars ($ AUD) exclusive of GST. Invoices are payable within fourteen (14) business days of draft report issuance. Out-of-hours testing requested by the Customer will incur standard weekend/holiday loadings.</w:t>
      </w:r>
    </w:p>
    <w:p>
      <w:pPr>
        <w:pStyle w:val="Heading3"/>
        <w:spacing w:before="200" w:after="80"/>
      </w:pPr>
      <w:r>
        <w:rPr>
          <w:rFonts w:ascii="Arial" w:hAnsi="Arial"/>
          <w:b/>
          <w:color w:val="283246"/>
          <w:sz w:val="22"/>
        </w:rPr>
        <w:t>7. Intellectual Property</w:t>
      </w:r>
    </w:p>
    <w:p>
      <w:pPr>
        <w:spacing w:after="60"/>
      </w:pPr>
      <w:r>
        <w:rPr>
          <w:rFonts w:ascii="Arial" w:hAnsi="Arial"/>
          <w:color w:val="323C46"/>
          <w:sz w:val="17"/>
        </w:rPr>
        <w:t>The Customer retains ownership of all proprietary data. Force Fortitude grants a perpetual, non-exclusive, royalty-free license to the Customer to use all final reports and remediation guidance.</w:t>
      </w:r>
    </w:p>
    <w:p>
      <w:pPr>
        <w:pStyle w:val="Heading3"/>
        <w:spacing w:before="200" w:after="80"/>
      </w:pPr>
      <w:r>
        <w:rPr>
          <w:rFonts w:ascii="Arial" w:hAnsi="Arial"/>
          <w:b/>
          <w:color w:val="283246"/>
          <w:sz w:val="22"/>
        </w:rPr>
        <w:t>8. Limitation of Liability</w:t>
      </w:r>
    </w:p>
    <w:p>
      <w:pPr>
        <w:spacing w:after="60"/>
      </w:pPr>
      <w:r>
        <w:rPr>
          <w:rFonts w:ascii="Arial" w:hAnsi="Arial"/>
          <w:color w:val="323C46"/>
          <w:sz w:val="17"/>
        </w:rPr>
        <w:t>To the maximum extent permitted under New South Wales law, Force Fortitude's aggregate liability under this agreement shall be limited to the total fees paid by the Customer for the specific engagement.</w:t>
      </w:r>
    </w:p>
    <w:p>
      <w:pPr>
        <w:pStyle w:val="Heading3"/>
        <w:spacing w:before="200" w:after="80"/>
      </w:pPr>
      <w:r>
        <w:rPr>
          <w:rFonts w:ascii="Arial" w:hAnsi="Arial"/>
          <w:b/>
          <w:color w:val="283246"/>
          <w:sz w:val="22"/>
        </w:rPr>
        <w:t>9. Governing Law</w:t>
      </w:r>
    </w:p>
    <w:p>
      <w:pPr>
        <w:spacing w:after="60"/>
      </w:pPr>
      <w:r>
        <w:rPr>
          <w:rFonts w:ascii="Arial" w:hAnsi="Arial"/>
          <w:color w:val="323C46"/>
          <w:sz w:val="17"/>
        </w:rPr>
        <w:t>This proposal and resulting contract shall be governed by and construed in accordance with the laws of the State of New South Wales, Australia.</w:t>
      </w:r>
    </w:p>
    <w:p>
      <w:pPr>
        <w:pStyle w:val="Heading1"/>
        <w:spacing w:before="320" w:after="160"/>
      </w:pPr>
      <w:r>
        <w:rPr>
          <w:rFonts w:ascii="Arial" w:hAnsi="Arial"/>
          <w:b/>
          <w:color w:val="050D1A"/>
          <w:sz w:val="32"/>
        </w:rPr>
        <w:t>9. Agreement of Work</w:t>
      </w:r>
    </w:p>
    <w:p>
      <w:r>
        <w:rPr>
          <w:rFonts w:ascii="Arial" w:hAnsi="Arial"/>
          <w:color w:val="28323C"/>
          <w:sz w:val="18"/>
        </w:rPr>
        <w:t>Force Fortitude Pty Ltd requests that [Client Organisation Name] indicates formal acceptance and agreement with the proposal of work to be undertaken by signing and returning this document below.</w:t>
        <w:br/>
        <w:br/>
        <w:t>Upon receipt of the signed agreement and purchase order, Force Fortitude will schedule the project commencement meeting.</w:t>
      </w:r>
    </w:p>
    <w:tbl>
      <w:tblPr>
        <w:tblW w:type="auto" w:w="0"/>
        <w:jc w:val="center"/>
        <w:tblLook w:firstColumn="1" w:firstRow="1" w:lastColumn="0" w:lastRow="0" w:noHBand="0" w:noVBand="1" w:val="04A0"/>
      </w:tblPr>
      <w:tblGrid>
        <w:gridCol w:w="4320"/>
        <w:gridCol w:w="4320"/>
      </w:tblGrid>
      <w:tr>
        <w:tc>
          <w:tcPr>
            <w:tcW w:type="dxa" w:w="3168"/>
            <w:shd w:fill="F0F4F8"/>
            <w:tcMar>
              <w:top w:w="70" w:type="dxa"/>
              <w:bottom w:w="70" w:type="dxa"/>
              <w:left w:w="100" w:type="dxa"/>
              <w:right w:w="100" w:type="dxa"/>
            </w:tcMar>
          </w:tcPr>
          <w:p>
            <w:r>
              <w:rPr>
                <w:b/>
                <w:sz w:val="17"/>
              </w:rPr>
              <w:t>Client Organisation:</w:t>
            </w:r>
          </w:p>
        </w:tc>
        <w:tc>
          <w:tcPr>
            <w:tcW w:type="dxa" w:w="6192"/>
            <w:shd w:fill="FFFFFF"/>
            <w:tcMar>
              <w:top w:w="70" w:type="dxa"/>
              <w:bottom w:w="70" w:type="dxa"/>
              <w:left w:w="100" w:type="dxa"/>
              <w:right w:w="100" w:type="dxa"/>
            </w:tcMar>
          </w:tcPr>
          <w:p>
            <w:r>
              <w:t>[Client Organisation Name]</w:t>
            </w:r>
          </w:p>
        </w:tc>
      </w:tr>
      <w:tr>
        <w:tc>
          <w:tcPr>
            <w:tcW w:type="dxa" w:w="3168"/>
            <w:shd w:fill="F0F4F8"/>
            <w:tcMar>
              <w:top w:w="70" w:type="dxa"/>
              <w:bottom w:w="70" w:type="dxa"/>
              <w:left w:w="100" w:type="dxa"/>
              <w:right w:w="100" w:type="dxa"/>
            </w:tcMar>
          </w:tcPr>
          <w:p>
            <w:r>
              <w:rPr>
                <w:b/>
                <w:sz w:val="17"/>
              </w:rPr>
              <w:t>Authorised Signature: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Printed Name: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Job Title / Role: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Date of Signature:</w:t>
            </w:r>
          </w:p>
        </w:tc>
        <w:tc>
          <w:tcPr>
            <w:tcW w:type="dxa" w:w="6192"/>
            <w:shd w:fill="FFFFFF"/>
            <w:tcMar>
              <w:top w:w="70" w:type="dxa"/>
              <w:bottom w:w="70" w:type="dxa"/>
              <w:left w:w="100" w:type="dxa"/>
              <w:right w:w="100" w:type="dxa"/>
            </w:tcMar>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28C"/>
        <w:sz w:val="17"/>
      </w:rPr>
      <w:t>Commercial in Confidence | Proposal ID: FF-PROP-INPT-2026 | ABN: 42 691 602 276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Force Fortitude Pty Ltd | Internal Penetration Testing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