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2021-11-04</w:t>
      </w:r>
    </w:p>
    <w:bookmarkStart w:id="20" w:name="summaryabstract"/>
    <w:p>
      <w:pPr>
        <w:pStyle w:val="Heading1"/>
      </w:pPr>
      <w:r>
        <w:rPr>
          <w:rStyle w:val="SectionNumber"/>
        </w:rPr>
        <w:t xml:space="preserve">1</w:t>
      </w:r>
      <w:r>
        <w:tab/>
      </w:r>
      <w:r>
        <w:t xml:space="preserve">Summary/Abstract</w:t>
      </w:r>
    </w:p>
    <w:p>
      <w:pPr>
        <w:pStyle w:val="FirstParagraph"/>
      </w:pPr>
      <w:r>
        <w:t xml:space="preserve">Applying MADA learned techniques to a RT-PCR dataset to determine the effectiveness of sample enhancement strategies for environmental surface sampling of low bio-burden viruses.</w:t>
      </w:r>
    </w:p>
    <w:bookmarkEnd w:id="20"/>
    <w:bookmarkStart w:id="49" w:name="introduction"/>
    <w:p>
      <w:pPr>
        <w:pStyle w:val="Heading1"/>
      </w:pPr>
      <w:r>
        <w:rPr>
          <w:rStyle w:val="SectionNumber"/>
        </w:rPr>
        <w:t xml:space="preserve">2</w:t>
      </w:r>
      <w:r>
        <w:tab/>
      </w:r>
      <w:r>
        <w:t xml:space="preserve">Introduction</w:t>
      </w:r>
    </w:p>
    <w:bookmarkStart w:id="22" w:name="background"/>
    <w:p>
      <w:pPr>
        <w:pStyle w:val="Heading2"/>
      </w:pPr>
      <w:r>
        <w:rPr>
          <w:rStyle w:val="SectionNumber"/>
        </w:rPr>
        <w:t xml:space="preserve">2.1</w:t>
      </w:r>
      <w:r>
        <w:tab/>
      </w:r>
      <w:r>
        <w:t xml:space="preserve">Background</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 Although many viruses have a low infectious dose, they can be difficult to detect due to the low bioburden in the environment. The ability to detect viral pathogens is critical to identifying hidden reservoirs which can inform infection control.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 outbreak response through rapid pathogen detection by evaluating a TC technology’s ability to capture SC2 from complex matrices.</w:t>
      </w:r>
    </w:p>
    <w:bookmarkStart w:id="21" w:name="questionshypotheses-to-be-addressed"/>
    <w:p>
      <w:pPr>
        <w:pStyle w:val="Heading3"/>
      </w:pPr>
      <w:r>
        <w:rPr>
          <w:rStyle w:val="SectionNumber"/>
        </w:rPr>
        <w:t xml:space="preserve">2.1.1</w:t>
      </w:r>
      <w:r>
        <w:tab/>
      </w:r>
      <w:r>
        <w:t xml:space="preserve">Questions/Hypotheses to be addressed</w:t>
      </w:r>
    </w:p>
    <w:p>
      <w:pPr>
        <w:pStyle w:val="FirstParagraph"/>
      </w:pPr>
      <w:r>
        <w:t xml:space="preserve">There are several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numPr>
          <w:ilvl w:val="0"/>
          <w:numId w:val="1001"/>
        </w:numPr>
        <w:pStyle w:val="Compact"/>
      </w:pPr>
      <w:r>
        <w:t xml:space="preserve">Can this data be modeled to back calculate a sample’s original concentration based on the Ct values recovered?</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End w:id="21"/>
    <w:bookmarkEnd w:id="22"/>
    <w:bookmarkStart w:id="24" w:name="methods-and-results"/>
    <w:p>
      <w:pPr>
        <w:pStyle w:val="Heading2"/>
      </w:pPr>
      <w:r>
        <w:rPr>
          <w:rStyle w:val="SectionNumber"/>
        </w:rPr>
        <w:t xml:space="preserve">2.2</w:t>
      </w:r>
      <w:r>
        <w:tab/>
      </w:r>
      <w:r>
        <w:t xml:space="preserve">Methods and Results</w:t>
      </w:r>
    </w:p>
    <w:bookmarkStart w:id="23" w:name="experiment-setup-and-conditions"/>
    <w:p>
      <w:pPr>
        <w:pStyle w:val="Heading3"/>
      </w:pPr>
      <w:r>
        <w:rPr>
          <w:rStyle w:val="SectionNumber"/>
        </w:rPr>
        <w:t xml:space="preserve">2.2.1</w:t>
      </w:r>
      <w:r>
        <w:tab/>
      </w:r>
      <w:r>
        <w:t xml:space="preserve">Experiment setup and conditions</w:t>
      </w:r>
    </w:p>
    <w:p>
      <w:pPr>
        <w:pStyle w:val="FirstParagraph"/>
      </w:pPr>
      <w:r>
        <w:t xml:space="preserve">Using established standard methods for environmental sampling with a self-contained polyurethane swab from stainless steel surface, a TC approach (NTP; Nanotrap® Magnetic Virus Particles, Ceres Nanosciences) was compared to an automated extraction method (MX48; Maxwell® RSC Viral Total Nucleic Acid Purification Kit, Promega) for recovery of heat-inactivated SC2 from the polyurethane swab as detected by rRT-PCR</w:t>
      </w:r>
    </w:p>
    <w:bookmarkEnd w:id="23"/>
    <w:bookmarkEnd w:id="24"/>
    <w:bookmarkStart w:id="46" w:name="data-aquisition"/>
    <w:p>
      <w:pPr>
        <w:pStyle w:val="Heading2"/>
      </w:pPr>
      <w:r>
        <w:rPr>
          <w:rStyle w:val="SectionNumber"/>
        </w:rPr>
        <w:t xml:space="preserve">2.3</w:t>
      </w:r>
      <w:r>
        <w:tab/>
      </w:r>
      <w:r>
        <w:t xml:space="preserve">Data aquisition</w:t>
      </w:r>
    </w:p>
    <w:p>
      <w:pPr>
        <w:pStyle w:val="FirstParagraph"/>
      </w:pPr>
      <w:r>
        <w:t xml:space="preserve">Reports per each rRT-PCR run were generated and quality checked on their respective machines before transfer to a Teams repository. Summary data was selected from the reports and added to additional environmental data gathered on based on the extraction date of the sample.</w:t>
      </w:r>
    </w:p>
    <w:p>
      <w:pPr>
        <w:pStyle w:val="BodyText"/>
      </w:pPr>
      <w:r>
        <w:t xml:space="preserve">Completed run data is then collated into one file and read into R./A composited data set was compiled and saved as a csv and used as the base data for the project</w:t>
      </w:r>
    </w:p>
    <w:bookmarkStart w:id="25" w:name="data-import-and-cleaning"/>
    <w:p>
      <w:pPr>
        <w:pStyle w:val="Heading3"/>
      </w:pPr>
      <w:r>
        <w:rPr>
          <w:rStyle w:val="SectionNumber"/>
        </w:rPr>
        <w:t xml:space="preserve">2.3.1</w:t>
      </w:r>
      <w:r>
        <w:tab/>
      </w:r>
      <w:r>
        <w:t xml:space="preserve">Data import and cleaning</w:t>
      </w:r>
    </w:p>
    <w:p>
      <w:pPr>
        <w:pStyle w:val="FirstParagraph"/>
      </w:pPr>
      <w:r>
        <w:t xml:space="preserve">processing script.R was modified to do initial cleaning and preparation of the data set for further exploration.</w:t>
      </w:r>
    </w:p>
    <w:p>
      <w:pPr>
        <w:pStyle w:val="BodyText"/>
      </w:pPr>
      <w:r>
        <w:t xml:space="preserve">Data was imported and cleaned.</w:t>
      </w:r>
      <w:r>
        <w:t xml:space="preserve"> </w:t>
      </w:r>
      <w:r>
        <w:t xml:space="preserve">Data was then split between the two different experimental types (P1 and P2).</w:t>
      </w:r>
    </w:p>
    <w:p>
      <w:pPr>
        <w:pStyle w:val="BodyText"/>
      </w:pPr>
      <w:r>
        <w:t xml:space="preserve">This can be found in processing_code/ProcessingScript.RMD</w:t>
      </w:r>
    </w:p>
    <w:bookmarkEnd w:id="25"/>
    <w:bookmarkStart w:id="30" w:name="data-exploration"/>
    <w:p>
      <w:pPr>
        <w:pStyle w:val="Heading3"/>
      </w:pPr>
      <w:r>
        <w:rPr>
          <w:rStyle w:val="SectionNumber"/>
        </w:rPr>
        <w:t xml:space="preserve">2.3.2</w:t>
      </w:r>
      <w:r>
        <w:tab/>
      </w:r>
      <w:r>
        <w:t xml:space="preserve">Data exploration</w:t>
      </w:r>
    </w:p>
    <w:bookmarkStart w:id="29" w:name="all-data"/>
    <w:p>
      <w:pPr>
        <w:pStyle w:val="Heading4"/>
      </w:pPr>
      <w:r>
        <w:rPr>
          <w:rStyle w:val="SectionNumber"/>
        </w:rPr>
        <w:t xml:space="preserve">2.3.2.1</w:t>
      </w:r>
      <w:r>
        <w:tab/>
      </w:r>
      <w:r>
        <w:t xml:space="preserve">All Data</w:t>
      </w:r>
    </w:p>
    <w:p>
      <w:pPr>
        <w:pStyle w:val="FirstParagraph"/>
      </w:pPr>
      <w:r>
        <w:t xml:space="preserve">Overview - split between part 1 and part 2</w:t>
      </w:r>
    </w:p>
    <w:bookmarkStart w:id="28" w:name="serial-dilutions-confirmation"/>
    <w:p>
      <w:pPr>
        <w:pStyle w:val="Heading5"/>
      </w:pPr>
      <w:r>
        <w:rPr>
          <w:rStyle w:val="SectionNumber"/>
        </w:rPr>
        <w:t xml:space="preserve">2.3.2.1.1</w:t>
      </w:r>
      <w:r>
        <w:tab/>
      </w:r>
      <w:r>
        <w:t xml:space="preserve">Serial Dilutions confirmation</w:t>
      </w:r>
    </w:p>
    <w:p>
      <w:pPr>
        <w:pStyle w:val="FirstParagraph"/>
      </w:pPr>
      <w:r>
        <w:t xml:space="preserve">Summary table</w:t>
      </w:r>
      <w:r>
        <w:t xml:space="preserve"> </w:t>
      </w:r>
      <w:r>
        <w:t xml:space="preserve">scatter plot of SDs based on dilution factors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"../../results/ALL-SD-Plot.png"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LL-SD-Plot.png" id="0" name="Picture"/>
                    <pic:cNvPicPr>
                      <a:picLocks noChangeArrowheads="1" noChangeAspect="1"/>
                    </pic:cNvPicPr>
                  </pic:nvPicPr>
                  <pic:blipFill>
                    <a:blip r:embed="rId26"/>
                    <a:stretch>
                      <a:fillRect/>
                    </a:stretch>
                  </pic:blipFill>
                  <pic:spPr bwMode="auto">
                    <a:xfrm>
                      <a:off x="0" y="0"/>
                      <a:ext cx="5334000" cy="3807460"/>
                    </a:xfrm>
                    <a:prstGeom prst="rect">
                      <a:avLst/>
                    </a:prstGeom>
                    <a:noFill/>
                    <a:ln w="9525">
                      <a:noFill/>
                      <a:headEnd/>
                      <a:tailEnd/>
                    </a:ln>
                  </pic:spPr>
                </pic:pic>
              </a:graphicData>
            </a:graphic>
          </wp:inline>
        </w:drawing>
      </w:r>
      <w:r>
        <w:t xml:space="preserve"> </w:t>
      </w:r>
      <w:r>
        <w:t xml:space="preserve">#### Phase 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"../../results/P1-SD-Plot.png"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P1-SD-Plot.png" id="0" name="Picture"/>
                    <pic:cNvPicPr>
                      <a:picLocks noChangeArrowheads="1" noChangeAspect="1"/>
                    </pic:cNvPicPr>
                  </pic:nvPicPr>
                  <pic:blipFill>
                    <a:blip r:embed="rId27"/>
                    <a:stretch>
                      <a:fillRect/>
                    </a:stretch>
                  </pic:blipFill>
                  <pic:spPr bwMode="auto">
                    <a:xfrm>
                      <a:off x="0" y="0"/>
                      <a:ext cx="5334000" cy="3807460"/>
                    </a:xfrm>
                    <a:prstGeom prst="rect">
                      <a:avLst/>
                    </a:prstGeom>
                    <a:noFill/>
                    <a:ln w="9525">
                      <a:noFill/>
                      <a:headEnd/>
                      <a:tailEnd/>
                    </a:ln>
                  </pic:spPr>
                </pic:pic>
              </a:graphicData>
            </a:graphic>
          </wp:inline>
        </w:drawing>
      </w:r>
    </w:p>
    <w:bookmarkEnd w:id="28"/>
    <w:bookmarkEnd w:id="29"/>
    <w:bookmarkEnd w:id="30"/>
    <w:bookmarkStart w:id="43" w:name="phase-2"/>
    <w:p>
      <w:pPr>
        <w:pStyle w:val="Heading3"/>
      </w:pPr>
      <w:r>
        <w:rPr>
          <w:rStyle w:val="SectionNumber"/>
        </w:rPr>
        <w:t xml:space="preserve">2.3.3</w:t>
      </w:r>
      <w:r>
        <w:tab/>
      </w:r>
      <w:r>
        <w:t xml:space="preserve">Phase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"../../results/P2-SD-Plot.png"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P2-SD-Plo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Phase 2 Comparing A and B Tool Recovery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"../../results/ASK-P2P1-Tools.png"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1-Tools.png" id="0" name="Picture"/>
                    <pic:cNvPicPr>
                      <a:picLocks noChangeArrowheads="1" noChangeAspect="1"/>
                    </pic:cNvPicPr>
                  </pic:nvPicPr>
                  <pic:blipFill>
                    <a:blip r:embed="rId32"/>
                    <a:stretch>
                      <a:fillRect/>
                    </a:stretch>
                  </pic:blipFill>
                  <pic:spPr bwMode="auto">
                    <a:xfrm>
                      <a:off x="0" y="0"/>
                      <a:ext cx="5334000" cy="3807460"/>
                    </a:xfrm>
                    <a:prstGeom prst="rect">
                      <a:avLst/>
                    </a:prstGeom>
                    <a:noFill/>
                    <a:ln w="9525">
                      <a:noFill/>
                      <a:headEnd/>
                      <a:tailEnd/>
                    </a:ln>
                  </pic:spPr>
                </pic:pic>
              </a:graphicData>
            </a:graphic>
          </wp:inline>
        </w:drawing>
      </w:r>
      <w:r>
        <w:t xml:space="preserve"> </w:t>
      </w:r>
      <w:r>
        <w:t xml:space="preserve">Tool A has an average Ct recovery higher than B. This makes sense as the surfaces A recovered from is 2 logs higher (-1) than that of B (-3). A log drop is ~3Ct values we can see from the graphic that it trends as predicted. Suggests that</w:t>
      </w:r>
    </w:p>
    <w:bookmarkStart w:id="34" w:name="Xd95252f49162681cba05c161cf81190576fec09"/>
    <w:p>
      <w:pPr>
        <w:pStyle w:val="Heading4"/>
      </w:pPr>
      <w:r>
        <w:rPr>
          <w:rStyle w:val="SectionNumber"/>
        </w:rPr>
        <w:t xml:space="preserve">2.3.3.1</w:t>
      </w:r>
      <w:r>
        <w:tab/>
      </w:r>
      <w:r>
        <w:t xml:space="preserve">Phase 2 Comparing Method Serial Dilutions (CDC vs NTP) with standard input of 300uL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"../../results/ASK-P2P2-Methods.png"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2-Methods.png" id="0"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r>
        <w:t xml:space="preserve"> </w:t>
      </w:r>
      <w:r>
        <w:t xml:space="preserve">Serial dilution data between CDC and NTP. Noting that all SD are in the confirmed realm of under 27 Ct Value CDC method is better than NTP at -1 concentration of the SD. the -2 shows little difference between method recovery Ct values. NTP appears to remain better than CDC at -3 and -4 levels. Accounting for the SE looks like both methods are the same until the -2 dilution. Might be significant difference at the -4 dilution.</w:t>
      </w:r>
    </w:p>
    <w:bookmarkEnd w:id="34"/>
    <w:bookmarkStart w:id="36" w:name="X8fc82c5b5dd35a9e180edc72c857d4f139f8e7e"/>
    <w:p>
      <w:pPr>
        <w:pStyle w:val="Heading4"/>
      </w:pPr>
      <w:r>
        <w:rPr>
          <w:rStyle w:val="SectionNumber"/>
        </w:rPr>
        <w:t xml:space="preserve">2.3.3.2</w:t>
      </w:r>
      <w:r>
        <w:tab/>
      </w:r>
      <w:r>
        <w:t xml:space="preserve">Phase 2 Comparing Methods with standard input of 300uL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"../../results/ASK-P2P3-Methods0300.png"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3-Methods0300.png" id="0"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bookmarkEnd w:id="36"/>
    <w:bookmarkStart w:id="38" w:name="X2861832ffb1d7b4d52169e2813ce938735517e8"/>
    <w:p>
      <w:pPr>
        <w:pStyle w:val="Heading4"/>
      </w:pPr>
      <w:r>
        <w:rPr>
          <w:rStyle w:val="SectionNumber"/>
        </w:rPr>
        <w:t xml:space="preserve">2.3.3.3</w:t>
      </w:r>
      <w:r>
        <w:tab/>
      </w:r>
      <w:r>
        <w:t xml:space="preserve">Phase 2 Method extraction comparisons with all inputs and tools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"../../results/ASK-P2P4-MethodsALL.png"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4-MethodsALL.png" id="0" name="Picture"/>
                    <pic:cNvPicPr>
                      <a:picLocks noChangeArrowheads="1" noChangeAspect="1"/>
                    </pic:cNvPicPr>
                  </pic:nvPicPr>
                  <pic:blipFill>
                    <a:blip r:embed="rId37"/>
                    <a:stretch>
                      <a:fillRect/>
                    </a:stretch>
                  </pic:blipFill>
                  <pic:spPr bwMode="auto">
                    <a:xfrm>
                      <a:off x="0" y="0"/>
                      <a:ext cx="5334000" cy="3807460"/>
                    </a:xfrm>
                    <a:prstGeom prst="rect">
                      <a:avLst/>
                    </a:prstGeom>
                    <a:noFill/>
                    <a:ln w="9525">
                      <a:noFill/>
                      <a:headEnd/>
                      <a:tailEnd/>
                    </a:ln>
                  </pic:spPr>
                </pic:pic>
              </a:graphicData>
            </a:graphic>
          </wp:inline>
        </w:drawing>
      </w:r>
    </w:p>
    <w:bookmarkEnd w:id="38"/>
    <w:bookmarkStart w:id="40" w:name="X3dd25ca51a74c04329e096697a7fbdbc116fd79"/>
    <w:p>
      <w:pPr>
        <w:pStyle w:val="Heading4"/>
      </w:pPr>
      <w:r>
        <w:rPr>
          <w:rStyle w:val="SectionNumber"/>
        </w:rPr>
        <w:t xml:space="preserve">2.3.3.4</w:t>
      </w:r>
      <w:r>
        <w:tab/>
      </w:r>
      <w:r>
        <w:t xml:space="preserve">Phase 2 Nanoparticles only - Compare detectors with dilution and input in Serial Dilutions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"../../results/ASK-P2P5-NTP-SD.png"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5-NTP-SD.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bookmarkEnd w:id="40"/>
    <w:bookmarkStart w:id="42" w:name="X1b4c6c6f649a30b63402214df928aa81ba32868"/>
    <w:p>
      <w:pPr>
        <w:pStyle w:val="Heading4"/>
      </w:pPr>
      <w:r>
        <w:rPr>
          <w:rStyle w:val="SectionNumber"/>
        </w:rPr>
        <w:t xml:space="preserve">2.3.3.5</w:t>
      </w:r>
      <w:r>
        <w:tab/>
      </w:r>
      <w:r>
        <w:t xml:space="preserve">Phase 2 Nanoparticles only - All tools at 300 and 1000ul input levels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"../../results/ASK-P2P6-NTP.png"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SK-P2P6-NTP.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bookmarkEnd w:id="42"/>
    <w:bookmarkEnd w:id="43"/>
    <w:bookmarkStart w:id="44" w:name="data-analysis"/>
    <w:p>
      <w:pPr>
        <w:pStyle w:val="Heading3"/>
      </w:pPr>
      <w:r>
        <w:rPr>
          <w:rStyle w:val="SectionNumber"/>
        </w:rPr>
        <w:t xml:space="preserve">2.3.4</w:t>
      </w:r>
      <w:r>
        <w:tab/>
      </w:r>
      <w:r>
        <w:t xml:space="preserve">Data Analysis</w:t>
      </w:r>
    </w:p>
    <w:bookmarkEnd w:id="44"/>
    <w:bookmarkStart w:id="45" w:name="data-modeling"/>
    <w:p>
      <w:pPr>
        <w:pStyle w:val="Heading3"/>
      </w:pPr>
      <w:r>
        <w:rPr>
          <w:rStyle w:val="SectionNumber"/>
        </w:rPr>
        <w:t xml:space="preserve">2.3.5</w:t>
      </w:r>
      <w:r>
        <w:tab/>
      </w:r>
      <w:r>
        <w:t xml:space="preserve">Data Modeling</w:t>
      </w:r>
    </w:p>
    <w:bookmarkEnd w:id="45"/>
    <w:bookmarkEnd w:id="46"/>
    <w:bookmarkStart w:id="47" w:name="exploratory-analysis"/>
    <w:p>
      <w:pPr>
        <w:pStyle w:val="Heading2"/>
      </w:pPr>
      <w:r>
        <w:rPr>
          <w:rStyle w:val="SectionNumber"/>
        </w:rPr>
        <w:t xml:space="preserve">2.4</w:t>
      </w:r>
      <w:r>
        <w:tab/>
      </w:r>
      <w:r>
        <w:t xml:space="preserve">Exploratory analysis</w:t>
      </w:r>
    </w:p>
    <w:p>
      <w:pPr>
        <w:pStyle w:val="FirstParagraph"/>
      </w:pPr>
      <w:r>
        <w:t xml:space="preserve">Table</w:t>
      </w:r>
      <w:r>
        <w:t xml:space="preserve"> </w:t>
      </w:r>
      <w:r>
        <w:t xml:space="preserve">??</w:t>
      </w:r>
      <w:r>
        <w:t xml:space="preserve"> </w:t>
      </w:r>
      <w:r>
        <w:t xml:space="preserve">shows a table summarizing the data.</w:t>
      </w:r>
    </w:p>
    <w:p>
      <w:pPr>
        <w:pStyle w:val="BodyText"/>
      </w:pPr>
      <w:r>
        <w:t xml:space="preserve">Figure</w:t>
      </w:r>
      <w:r>
        <w:t xml:space="preserve"> </w:t>
      </w:r>
      <w:r>
        <w:t xml:space="preserve">??</w:t>
      </w:r>
      <w:r>
        <w:t xml:space="preserve"> </w:t>
      </w:r>
      <w:r>
        <w:t xml:space="preserve">shows a scatterplot figure produced by one of the R scripts.</w:t>
      </w:r>
    </w:p>
    <w:bookmarkEnd w:id="47"/>
    <w:bookmarkStart w:id="48" w:name="full-analysis"/>
    <w:p>
      <w:pPr>
        <w:pStyle w:val="Heading2"/>
      </w:pPr>
      <w:r>
        <w:rPr>
          <w:rStyle w:val="SectionNumber"/>
        </w:rPr>
        <w:t xml:space="preserve">2.5</w:t>
      </w:r>
      <w:r>
        <w:tab/>
      </w:r>
      <w:r>
        <w:t xml:space="preserve">Full analysis</w:t>
      </w:r>
    </w:p>
    <w:p>
      <w:pPr>
        <w:pStyle w:val="FirstParagraph"/>
      </w:pPr>
      <w:r>
        <w:t xml:space="preserve">Example table</w:t>
      </w:r>
      <w:r>
        <w:t xml:space="preserve"> </w:t>
      </w:r>
      <w:r>
        <w:t xml:space="preserve">??</w:t>
      </w:r>
      <w:r>
        <w:t xml:space="preserve"> </w:t>
      </w:r>
      <w:r>
        <w:t xml:space="preserve">shows a table summarizing a linear model fit.</w:t>
      </w:r>
    </w:p>
    <w:bookmarkEnd w:id="48"/>
    <w:bookmarkEnd w:id="49"/>
    <w:bookmarkStart w:id="53" w:name="discussion"/>
    <w:p>
      <w:pPr>
        <w:pStyle w:val="Heading1"/>
      </w:pPr>
      <w:r>
        <w:rPr>
          <w:rStyle w:val="SectionNumber"/>
        </w:rPr>
        <w:t xml:space="preserve">3</w:t>
      </w:r>
      <w:r>
        <w:tab/>
      </w:r>
      <w:r>
        <w:t xml:space="preserve">Discussion</w:t>
      </w:r>
    </w:p>
    <w:bookmarkStart w:id="50" w:name="summary-and-interpretation"/>
    <w:p>
      <w:pPr>
        <w:pStyle w:val="Heading2"/>
      </w:pPr>
      <w:r>
        <w:rPr>
          <w:rStyle w:val="SectionNumber"/>
        </w:rPr>
        <w:t xml:space="preserve">3.1</w:t>
      </w:r>
      <w:r>
        <w:tab/>
      </w:r>
      <w:r>
        <w:t xml:space="preserve">Summary and Interpretation</w:t>
      </w:r>
    </w:p>
    <w:p>
      <w:pPr>
        <w:pStyle w:val="FirstParagraph"/>
      </w:pPr>
      <w:r>
        <w:rPr>
          <w:iCs/>
          <w:i/>
        </w:rPr>
        <w:t xml:space="preserve">Summarize what you did, what you found and what it means.</w:t>
      </w:r>
    </w:p>
    <w:bookmarkEnd w:id="50"/>
    <w:bookmarkStart w:id="51" w:name="strengths-and-limitations"/>
    <w:p>
      <w:pPr>
        <w:pStyle w:val="Heading2"/>
      </w:pPr>
      <w:r>
        <w:rPr>
          <w:rStyle w:val="SectionNumber"/>
        </w:rPr>
        <w:t xml:space="preserve">3.2</w:t>
      </w:r>
      <w:r>
        <w:tab/>
      </w:r>
      <w:r>
        <w:t xml:space="preserve">Strengths and Limitations</w:t>
      </w:r>
    </w:p>
    <w:p>
      <w:pPr>
        <w:pStyle w:val="FirstParagraph"/>
      </w:pPr>
      <w:r>
        <w:rPr>
          <w:iCs/>
          <w:i/>
        </w:rPr>
        <w:t xml:space="preserve">Discuss what you perceive as strengths and limitations of your analysis.</w:t>
      </w:r>
    </w:p>
    <w:bookmarkEnd w:id="51"/>
    <w:bookmarkStart w:id="52" w:name="conclusions"/>
    <w:p>
      <w:pPr>
        <w:pStyle w:val="Heading2"/>
      </w:pPr>
      <w:r>
        <w:rPr>
          <w:rStyle w:val="SectionNumber"/>
        </w:rPr>
        <w:t xml:space="preserve">3.3</w:t>
      </w:r>
      <w:r>
        <w:tab/>
      </w:r>
      <w:r>
        <w:t xml:space="preserve">Conclusions</w:t>
      </w:r>
    </w:p>
    <w:p>
      <w:pPr>
        <w:pStyle w:val="FirstParagraph"/>
      </w:pPr>
      <w:r>
        <w:rPr>
          <w:iCs/>
          <w:i/>
        </w:rPr>
        <w:t xml:space="preserve">What are the main take-home messages?</w:t>
      </w:r>
    </w:p>
    <w:bookmarkEnd w:id="52"/>
    <w:bookmarkEnd w:id="53"/>
    <w:bookmarkStart w:id="54" w:name="references"/>
    <w:p>
      <w:pPr>
        <w:pStyle w:val="Heading1"/>
      </w:pPr>
      <w:r>
        <w:rPr>
          <w:rStyle w:val="SectionNumber"/>
        </w:rPr>
        <w:t xml:space="preserve">4</w:t>
      </w:r>
      <w:r>
        <w:tab/>
      </w: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2021-11-04T06:00:59Z</dcterms:created>
  <dcterms:modified xsi:type="dcterms:W3CDTF">2021-11-04T06:00:59Z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2021-11-04</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