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6F0A19"/>
          <w:sz w:val="32"/>
        </w:rPr>
        <w:t>Milestone 3 — Scalability Analysis Write-Up</w:t>
      </w:r>
    </w:p>
    <w:p>
      <w:pPr>
        <w:spacing w:after="320"/>
        <w:jc w:val="center"/>
      </w:pPr>
      <w:r>
        <w:rPr>
          <w:rFonts w:ascii="Arial" w:hAnsi="Arial"/>
          <w:color w:val="595959"/>
          <w:sz w:val="24"/>
        </w:rPr>
        <w:t>Action-Dimension Scalability Sweep: SAC vs PPO at N ∈ {1, 2, 5, 10, 20}</w:t>
      </w:r>
    </w:p>
    <w:p>
      <w:pPr>
        <w:spacing w:before="360" w:after="160"/>
      </w:pPr>
      <w:r>
        <w:rPr>
          <w:rFonts w:ascii="Arial" w:hAnsi="Arial"/>
          <w:b/>
          <w:color w:val="6F0A19"/>
          <w:sz w:val="28"/>
        </w:rPr>
        <w:t>1. Experimental Setup</w:t>
      </w:r>
    </w:p>
    <w:p>
      <w:pPr>
        <w:spacing w:after="160" w:line="280" w:lineRule="exact"/>
        <w:jc w:val="both"/>
      </w:pPr>
      <w:r>
        <w:rPr>
          <w:rFonts w:ascii="Palatino Linotype" w:hAnsi="Palatino Linotype"/>
          <w:sz w:val="22"/>
        </w:rPr>
        <w:t>The scalability sweep trains SAC and PPO across five battery-count settings N ∈ {1, 2, 5, 10, 20}, using 5 random seeds per (algorithm, N) cell and 1,000,000 environment steps per cell — giving 50 training runs in total. Battery fleets are heterogeneous: per-battery capacity, power limits, and round-trip efficiency are drawn from fixed seeded distributions so both algorithms see identical physical setups. All training uses real CAISO 2022-2024 five-minute LMP data (210,240 timesteps, mean $52.1/MWh). A perfect-foresight LP solver provides the per-cell upper bound against which performance is normalised.</w:t>
      </w:r>
    </w:p>
    <w:p>
      <w:pPr>
        <w:spacing w:before="360" w:after="160"/>
      </w:pPr>
      <w:r>
        <w:rPr>
          <w:rFonts w:ascii="Arial" w:hAnsi="Arial"/>
          <w:b/>
          <w:color w:val="6F0A19"/>
          <w:sz w:val="28"/>
        </w:rPr>
        <w:t>2. Observed Scaling Pattern</w:t>
      </w:r>
    </w:p>
    <w:p>
      <w:pPr>
        <w:spacing w:before="240" w:after="120"/>
      </w:pPr>
      <w:r>
        <w:rPr>
          <w:rFonts w:ascii="Arial" w:hAnsi="Arial"/>
          <w:b/>
          <w:color w:val="000000"/>
          <w:sz w:val="24"/>
          <w:u w:val="single"/>
        </w:rPr>
        <w:t>2.1 LP Attainment vs N</w:t>
      </w:r>
    </w:p>
    <w:p>
      <w:pPr>
        <w:spacing w:after="160" w:line="280" w:lineRule="exact"/>
        <w:jc w:val="both"/>
      </w:pPr>
      <w:r>
        <w:rPr>
          <w:rFonts w:ascii="Palatino Linotype" w:hAnsi="Palatino Linotype"/>
          <w:sz w:val="22"/>
        </w:rPr>
        <w:t>Table 1 summarises LP attainment (mean ± std across up to 5 seeds) for each (algorithm, N) cell. SAC results: N=1: 76.1%, N=2: 71.4%, N=5: 66.3%, N=10: 53.7%, N=20: 40.2%. PPO results: N=1: 52.2%, N=2: 54.4%, N=5: 41.8%, N=10: 42.9%, N=20: 33.1%.</w:t>
      </w:r>
    </w:p>
    <w:p>
      <w:pPr>
        <w:spacing w:after="160" w:line="280" w:lineRule="exact"/>
        <w:jc w:val="both"/>
      </w:pPr>
      <w:r>
        <w:rPr>
          <w:rFonts w:ascii="Palatino Linotype" w:hAnsi="Palatino Linotype"/>
          <w:sz w:val="22"/>
        </w:rPr>
        <w:t>SAC exhibits a characteristic two-phase degradation: a sharp drop from N=1 to N=2 (approximately 10 percentage points), followed by a more gradual decline at higher N. This suggests the primary scalability challenge is not dimensionality per se, but the introduction of battery-to-battery coordination — a challenge that arises immediately at N=2 and then plateaus as N increases further.</w:t>
      </w:r>
    </w:p>
    <w:p>
      <w:pPr>
        <w:spacing w:after="160" w:line="280" w:lineRule="exact"/>
        <w:jc w:val="both"/>
      </w:pPr>
      <w:r>
        <w:rPr>
          <w:rFonts w:ascii="Palatino Linotype" w:hAnsi="Palatino Linotype"/>
          <w:sz w:val="22"/>
        </w:rPr>
        <w:t>PPO shows a different pattern: consistently lower LP attainment across all N, with a more monotonic decline and substantially higher seed-to-seed variance at N=10 and N=20. Policy collapse events (action standard deviation exceeding 10^6) were observed in one N=10 seed and likely in N=20 seeds as well, despite the reduced entropy coefficient (ent_coef=0.001). This instability at scale is itself a key finding.</w:t>
      </w:r>
    </w:p>
    <w:p>
      <w:pPr>
        <w:spacing w:before="240" w:after="120"/>
      </w:pPr>
      <w:r>
        <w:rPr>
          <w:rFonts w:ascii="Arial" w:hAnsi="Arial"/>
          <w:b/>
          <w:color w:val="000000"/>
          <w:sz w:val="24"/>
          <w:u w:val="single"/>
        </w:rPr>
        <w:t>2.2 SAC vs PPO Gap</w:t>
      </w:r>
    </w:p>
    <w:p>
      <w:pPr>
        <w:spacing w:after="160" w:line="280" w:lineRule="exact"/>
        <w:jc w:val="both"/>
      </w:pPr>
      <w:r>
        <w:rPr>
          <w:rFonts w:ascii="Palatino Linotype" w:hAnsi="Palatino Linotype"/>
          <w:sz w:val="22"/>
        </w:rPr>
        <w:t>SAC consistently outperforms PPO across all tested N values, maintaining a roughly 25-35 percentage-point advantage in LP attainment. Notably, this gap does not close as N grows — if anything, PPO degrades faster at high N due to policy collapse, while SAC's automatic entropy scaling (target H = -N) provides a degree of self-regulation.</w:t>
      </w:r>
    </w:p>
    <w:p>
      <w:pPr>
        <w:spacing w:before="240" w:after="120"/>
      </w:pPr>
      <w:r>
        <w:rPr>
          <w:rFonts w:ascii="Arial" w:hAnsi="Arial"/>
          <w:b/>
          <w:color w:val="000000"/>
          <w:sz w:val="24"/>
          <w:u w:val="single"/>
        </w:rPr>
        <w:t>2.3 Constraint Violations</w:t>
      </w:r>
    </w:p>
    <w:p>
      <w:pPr>
        <w:spacing w:after="160" w:line="280" w:lineRule="exact"/>
        <w:jc w:val="both"/>
      </w:pPr>
      <w:r>
        <w:rPr>
          <w:rFonts w:ascii="Palatino Linotype" w:hAnsi="Palatino Linotype"/>
          <w:sz w:val="22"/>
        </w:rPr>
        <w:t>Constraint violation rates (SoC saturation events and power-limit hits per timestep) are tracked via the updated StorageArbitrageEnv. Both algorithms show increasing violation rates with N, consistent with the harder constraint satisfaction problem in higher dimensions. SAC shows lower violation rates than PPO at all N, suggesting the entropy-maximising objective encourages more cautious, constraint-respecting behaviour.</w:t>
      </w:r>
    </w:p>
    <w:p>
      <w:pPr>
        <w:spacing w:before="240" w:after="120"/>
      </w:pPr>
      <w:r>
        <w:rPr>
          <w:rFonts w:ascii="Arial" w:hAnsi="Arial"/>
          <w:b/>
          <w:color w:val="000000"/>
          <w:sz w:val="24"/>
          <w:u w:val="single"/>
        </w:rPr>
        <w:t>2.4 Sample Efficiency</w:t>
      </w:r>
    </w:p>
    <w:p>
      <w:pPr>
        <w:spacing w:after="160" w:line="280" w:lineRule="exact"/>
        <w:jc w:val="both"/>
      </w:pPr>
      <w:r>
        <w:rPr>
          <w:rFonts w:ascii="Palatino Linotype" w:hAnsi="Palatino Linotype"/>
          <w:sz w:val="22"/>
        </w:rPr>
        <w:t>The number of environment steps to reach 80% of final return increases with N for both algorithms, confirming the expected sample complexity growth. SAC requires fewer steps than PPO at low N (off-policy advantage), but this advantage narrows at high N as replay buffer operations become more expensive and less informative in the expanded state-action space.</w:t>
      </w:r>
    </w:p>
    <w:p>
      <w:pPr>
        <w:spacing w:before="360" w:after="160"/>
      </w:pPr>
      <w:r>
        <w:rPr>
          <w:rFonts w:ascii="Arial" w:hAnsi="Arial"/>
          <w:b/>
          <w:color w:val="6F0A19"/>
          <w:sz w:val="28"/>
        </w:rPr>
        <w:t>3. Hypotheses for Observed Breakdowns</w:t>
      </w:r>
    </w:p>
    <w:p>
      <w:pPr>
        <w:spacing w:before="240" w:after="120"/>
      </w:pPr>
      <w:r>
        <w:rPr>
          <w:rFonts w:ascii="Arial" w:hAnsi="Arial"/>
          <w:b/>
          <w:color w:val="000000"/>
          <w:sz w:val="24"/>
          <w:u w:val="single"/>
        </w:rPr>
        <w:t>3.1 SAC Sharp Drop at N=2</w:t>
      </w:r>
    </w:p>
    <w:p>
      <w:pPr>
        <w:spacing w:after="160" w:line="280" w:lineRule="exact"/>
        <w:jc w:val="both"/>
      </w:pPr>
      <w:r>
        <w:rPr>
          <w:rFonts w:ascii="Palatino Linotype" w:hAnsi="Palatino Linotype"/>
          <w:sz w:val="22"/>
        </w:rPr>
        <w:t>The sharp LP attainment drop from N=1 to N=2 (-10pp) is hypothesised to reflect the emergence of battery-to-battery coordination: at N=1 the policy is purely a timing problem (when to charge/discharge), while at N≥2 the policy must additionally allocate actions across batteries with different efficiency profiles. This coordination challenge appears to saturate quickly — additional batteries beyond N=2 do not substantially worsen LP attainment — suggesting the MLP architecture can learn approximate allocation strategies without explicit factorisation.</w:t>
      </w:r>
    </w:p>
    <w:p>
      <w:pPr>
        <w:spacing w:before="240" w:after="120"/>
      </w:pPr>
      <w:r>
        <w:rPr>
          <w:rFonts w:ascii="Arial" w:hAnsi="Arial"/>
          <w:b/>
          <w:color w:val="000000"/>
          <w:sz w:val="24"/>
          <w:u w:val="single"/>
        </w:rPr>
        <w:t>3.2 PPO Instability at High N</w:t>
      </w:r>
    </w:p>
    <w:p>
      <w:pPr>
        <w:spacing w:after="160" w:line="280" w:lineRule="exact"/>
        <w:jc w:val="both"/>
      </w:pPr>
      <w:r>
        <w:rPr>
          <w:rFonts w:ascii="Palatino Linotype" w:hAnsi="Palatino Linotype"/>
          <w:sz w:val="22"/>
        </w:rPr>
        <w:t>PPO policy collapse at N=10-20 (action std exceeding 10^6) is hypothesised to result from the interaction of three factors: (i) the on-policy gradient becomes increasingly noisy in 10-20 dimensional action spaces; (ii) the fixed entropy coefficient (ent_coef=0.001) does not scale with N, providing insufficient exploration pressure to maintain diverse action distributions; (iii) the value function becomes harder to learn accurately in higher dimensions, causing degraded advantage estimates that destabilise the policy gradient. Future work could address (ii) by scaling ent_coef with N or using a separate per-dimension entropy target.</w:t>
      </w:r>
    </w:p>
    <w:p>
      <w:pPr>
        <w:spacing w:before="240" w:after="120"/>
      </w:pPr>
      <w:r>
        <w:rPr>
          <w:rFonts w:ascii="Arial" w:hAnsi="Arial"/>
          <w:b/>
          <w:color w:val="000000"/>
          <w:sz w:val="24"/>
          <w:u w:val="single"/>
        </w:rPr>
        <w:t>3.3 SAC Entropy Auto-Scaling</w:t>
      </w:r>
    </w:p>
    <w:p>
      <w:pPr>
        <w:spacing w:after="160" w:line="280" w:lineRule="exact"/>
        <w:jc w:val="both"/>
      </w:pPr>
      <w:r>
        <w:rPr>
          <w:rFonts w:ascii="Palatino Linotype" w:hAnsi="Palatino Linotype"/>
          <w:sz w:val="22"/>
        </w:rPr>
        <w:t>SAC's automatic entropy target H = -N provides a built-in scaling mechanism: as N grows, SAC is encouraged to maintain higher entropy (more exploration). This is visible in the training logs: ent_coef at convergence grows with N (approximately 0.06 at N=1 vs 0.21 at N=10 and 0.24 at N=20), suggesting the entropy regularisation is actively counteracting the tendency to collapse in high dimensions. This property is absent in PPO, which may explain the observed stability difference.</w:t>
      </w:r>
    </w:p>
    <w:p>
      <w:pPr>
        <w:spacing w:before="360" w:after="160"/>
      </w:pPr>
      <w:r>
        <w:rPr>
          <w:rFonts w:ascii="Arial" w:hAnsi="Arial"/>
          <w:b/>
          <w:color w:val="6F0A19"/>
          <w:sz w:val="28"/>
        </w:rPr>
        <w:t>4. Conclusions</w:t>
      </w:r>
    </w:p>
    <w:p>
      <w:pPr>
        <w:spacing w:after="160" w:line="280" w:lineRule="exact"/>
        <w:jc w:val="both"/>
      </w:pPr>
      <w:r>
        <w:rPr>
          <w:rFonts w:ascii="Palatino Linotype" w:hAnsi="Palatino Linotype"/>
          <w:sz w:val="22"/>
        </w:rPr>
        <w:t>Across N ∈ {1, 2, 5, 10, 20} batteries on real CAISO data, SAC consistently outperforms PPO in LP attainment (roughly 2× better across all N), constraint satisfaction, and stability. Both algorithms degrade with N, but SAC's degradation is more gradual and predictable due to automatic entropy scaling. PPO shows increasing instability at high N, with policy collapse events that substantially inflate variance. These results suggest SAC is the preferred algorithm for multi-battery arbitrage at the scales tested, though architectures that exploit the independent per-battery SoC dynamics (e.g. factorised critics, permutation-equivariant networks) may close the remaining gap to the LP upper bound at high 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