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6F0A19"/>
          <w:sz w:val="32"/>
        </w:rPr>
        <w:t>Milestone 2 — Hyperparameter Tuning Memo</w:t>
      </w:r>
    </w:p>
    <w:p>
      <w:pPr>
        <w:spacing w:after="320"/>
        <w:jc w:val="center"/>
      </w:pPr>
      <w:r>
        <w:rPr>
          <w:rFonts w:ascii="Arial" w:hAnsi="Arial"/>
          <w:color w:val="595959"/>
          <w:sz w:val="22"/>
        </w:rPr>
        <w:t>SAC and PPO at N=1 — Real CAISO Data — June 2026</w:t>
      </w:r>
    </w:p>
    <w:p>
      <w:pPr>
        <w:spacing w:before="320" w:after="120"/>
      </w:pPr>
      <w:r>
        <w:rPr>
          <w:rFonts w:ascii="Arial" w:hAnsi="Arial"/>
          <w:b/>
          <w:color w:val="6F0A19"/>
          <w:sz w:val="28"/>
        </w:rPr>
        <w:t>1. Objective</w:t>
      </w:r>
    </w:p>
    <w:p>
      <w:pPr>
        <w:spacing w:after="120" w:line="260" w:lineRule="exact"/>
        <w:jc w:val="both"/>
      </w:pPr>
      <w:r>
        <w:rPr>
          <w:rFonts w:ascii="Palatino Linotype" w:hAnsi="Palatino Linotype"/>
          <w:sz w:val="22"/>
        </w:rPr>
        <w:t>Tune SAC and PPO at N=1 using real CAISO 2022-2024 price data (mean=$52.1/MWh, T=288 steps/day). Acceptance criterion: both algorithms reach ≥70% of the perfect-foresight LP upper bound ($182.83), i.e. ≥$127.98 per episode.</w:t>
      </w:r>
    </w:p>
    <w:p>
      <w:pPr>
        <w:spacing w:before="320" w:after="120"/>
      </w:pPr>
      <w:r>
        <w:rPr>
          <w:rFonts w:ascii="Arial" w:hAnsi="Arial"/>
          <w:b/>
          <w:color w:val="6F0A19"/>
          <w:sz w:val="28"/>
        </w:rPr>
        <w:t>2. Hyperparameters Tuned</w:t>
      </w:r>
    </w:p>
    <w:p>
      <w:pPr>
        <w:spacing w:before="200" w:after="80"/>
      </w:pPr>
      <w:r>
        <w:rPr>
          <w:rFonts w:ascii="Arial" w:hAnsi="Arial"/>
          <w:b/>
          <w:color w:val="000000"/>
          <w:sz w:val="24"/>
          <w:u w:val="single"/>
        </w:rPr>
        <w:t>SAC — Most Sensitive Parameters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Parameter</w:t>
            </w:r>
          </w:p>
        </w:tc>
        <w:tc>
          <w:tcPr>
            <w:tcW w:type="dxa" w:w="1824"/>
          </w:tcPr>
          <w:p>
            <w:r>
              <w:rPr>
                <w:b/>
                <w:sz w:val="20"/>
              </w:rPr>
              <w:t>Default</w:t>
            </w:r>
          </w:p>
        </w:tc>
        <w:tc>
          <w:tcPr>
            <w:tcW w:type="dxa" w:w="1824"/>
          </w:tcPr>
          <w:p>
            <w:r>
              <w:rPr>
                <w:b/>
                <w:sz w:val="20"/>
              </w:rPr>
              <w:t>Final</w:t>
            </w:r>
          </w:p>
        </w:tc>
        <w:tc>
          <w:tcPr>
            <w:tcW w:type="dxa" w:w="1824"/>
          </w:tcPr>
          <w:p>
            <w:r>
              <w:rPr>
                <w:b/>
                <w:sz w:val="20"/>
              </w:rPr>
              <w:t>Sensitivity</w:t>
            </w:r>
          </w:p>
        </w:tc>
        <w:tc>
          <w:tcPr>
            <w:tcW w:type="dxa" w:w="1824"/>
          </w:tcPr>
          <w:p>
            <w:r>
              <w:rPr>
                <w:b/>
                <w:sz w:val="20"/>
              </w:rPr>
              <w:t>Finding</w:t>
            </w:r>
          </w:p>
        </w:tc>
      </w:tr>
      <w:tr>
        <w:tc>
          <w:tcPr>
            <w:tcW w:type="dxa" w:w="1824"/>
          </w:tcPr>
          <w:p>
            <w:r>
              <w:rPr>
                <w:sz w:val="20"/>
              </w:rPr>
              <w:t>learning_rate</w:t>
            </w:r>
          </w:p>
        </w:tc>
        <w:tc>
          <w:tcPr>
            <w:tcW w:type="dxa" w:w="1824"/>
          </w:tcPr>
          <w:p>
            <w:r>
              <w:rPr>
                <w:sz w:val="20"/>
              </w:rPr>
              <w:t>3×10⁻⁴</w:t>
            </w:r>
          </w:p>
        </w:tc>
        <w:tc>
          <w:tcPr>
            <w:tcW w:type="dxa" w:w="1824"/>
          </w:tcPr>
          <w:p>
            <w:r>
              <w:rPr>
                <w:sz w:val="20"/>
              </w:rPr>
              <w:t>1×10⁻³</w:t>
            </w:r>
          </w:p>
        </w:tc>
        <w:tc>
          <w:tcPr>
            <w:tcW w:type="dxa" w:w="1824"/>
          </w:tcPr>
          <w:p>
            <w:r>
              <w:rPr>
                <w:sz w:val="20"/>
              </w:rPr>
              <w:t>HIGH</w:t>
            </w:r>
          </w:p>
        </w:tc>
        <w:tc>
          <w:tcPr>
            <w:tcW w:type="dxa" w:w="1824"/>
          </w:tcPr>
          <w:p>
            <w:r>
              <w:rPr>
                <w:sz w:val="20"/>
              </w:rPr>
              <w:t>3× increase gave +$48 return at same steps</w:t>
            </w:r>
          </w:p>
        </w:tc>
      </w:tr>
      <w:tr>
        <w:tc>
          <w:tcPr>
            <w:tcW w:type="dxa" w:w="1824"/>
          </w:tcPr>
          <w:p>
            <w:r>
              <w:rPr>
                <w:sz w:val="20"/>
              </w:rPr>
              <w:t>buffer_size</w:t>
            </w:r>
          </w:p>
        </w:tc>
        <w:tc>
          <w:tcPr>
            <w:tcW w:type="dxa" w:w="1824"/>
          </w:tcPr>
          <w:p>
            <w:r>
              <w:rPr>
                <w:sz w:val="20"/>
              </w:rPr>
              <w:t>100K</w:t>
            </w:r>
          </w:p>
        </w:tc>
        <w:tc>
          <w:tcPr>
            <w:tcW w:type="dxa" w:w="1824"/>
          </w:tcPr>
          <w:p>
            <w:r>
              <w:rPr>
                <w:sz w:val="20"/>
              </w:rPr>
              <w:t>500K</w:t>
            </w:r>
          </w:p>
        </w:tc>
        <w:tc>
          <w:tcPr>
            <w:tcW w:type="dxa" w:w="1824"/>
          </w:tcPr>
          <w:p>
            <w:r>
              <w:rPr>
                <w:sz w:val="20"/>
              </w:rPr>
              <w:t>HIGH</w:t>
            </w:r>
          </w:p>
        </w:tc>
        <w:tc>
          <w:tcPr>
            <w:tcW w:type="dxa" w:w="1824"/>
          </w:tcPr>
          <w:p>
            <w:r>
              <w:rPr>
                <w:sz w:val="20"/>
              </w:rPr>
              <w:t>Small buffer gets overwritten — 500K prevents losing early experience</w:t>
            </w:r>
          </w:p>
        </w:tc>
      </w:tr>
      <w:tr>
        <w:tc>
          <w:tcPr>
            <w:tcW w:type="dxa" w:w="1824"/>
          </w:tcPr>
          <w:p>
            <w:r>
              <w:rPr>
                <w:sz w:val="20"/>
              </w:rPr>
              <w:t>learning_starts</w:t>
            </w:r>
          </w:p>
        </w:tc>
        <w:tc>
          <w:tcPr>
            <w:tcW w:type="dxa" w:w="1824"/>
          </w:tcPr>
          <w:p>
            <w:r>
              <w:rPr>
                <w:sz w:val="20"/>
              </w:rPr>
              <w:t>5000</w:t>
            </w:r>
          </w:p>
        </w:tc>
        <w:tc>
          <w:tcPr>
            <w:tcW w:type="dxa" w:w="1824"/>
          </w:tcPr>
          <w:p>
            <w:r>
              <w:rPr>
                <w:sz w:val="20"/>
              </w:rPr>
              <w:t>1000</w:t>
            </w:r>
          </w:p>
        </w:tc>
        <w:tc>
          <w:tcPr>
            <w:tcW w:type="dxa" w:w="1824"/>
          </w:tcPr>
          <w:p>
            <w:r>
              <w:rPr>
                <w:sz w:val="20"/>
              </w:rPr>
              <w:t>HIGH</w:t>
            </w:r>
          </w:p>
        </w:tc>
        <w:tc>
          <w:tcPr>
            <w:tcW w:type="dxa" w:w="1824"/>
          </w:tcPr>
          <w:p>
            <w:r>
              <w:rPr>
                <w:sz w:val="20"/>
              </w:rPr>
              <w:t>Reducing from 5000→1000 gave 5.4× faster early learning</w:t>
            </w:r>
          </w:p>
        </w:tc>
      </w:tr>
      <w:tr>
        <w:tc>
          <w:tcPr>
            <w:tcW w:type="dxa" w:w="1824"/>
          </w:tcPr>
          <w:p>
            <w:r>
              <w:rPr>
                <w:sz w:val="20"/>
              </w:rPr>
              <w:t>net_arch</w:t>
            </w:r>
          </w:p>
        </w:tc>
        <w:tc>
          <w:tcPr>
            <w:tcW w:type="dxa" w:w="1824"/>
          </w:tcPr>
          <w:p>
            <w:r>
              <w:rPr>
                <w:sz w:val="20"/>
              </w:rPr>
              <w:t>[256,256]</w:t>
            </w:r>
          </w:p>
        </w:tc>
        <w:tc>
          <w:tcPr>
            <w:tcW w:type="dxa" w:w="1824"/>
          </w:tcPr>
          <w:p>
            <w:r>
              <w:rPr>
                <w:sz w:val="20"/>
              </w:rPr>
              <w:t>[400,300]</w:t>
            </w:r>
          </w:p>
        </w:tc>
        <w:tc>
          <w:tcPr>
            <w:tcW w:type="dxa" w:w="1824"/>
          </w:tcPr>
          <w:p>
            <w:r>
              <w:rPr>
                <w:sz w:val="20"/>
              </w:rPr>
              <w:t>MEDIUM</w:t>
            </w:r>
          </w:p>
        </w:tc>
        <w:tc>
          <w:tcPr>
            <w:tcW w:type="dxa" w:w="1824"/>
          </w:tcPr>
          <w:p>
            <w:r>
              <w:rPr>
                <w:sz w:val="20"/>
              </w:rPr>
              <w:t>+$8 improvement — marginal gain from larger network</w:t>
            </w:r>
          </w:p>
        </w:tc>
      </w:tr>
      <w:tr>
        <w:tc>
          <w:tcPr>
            <w:tcW w:type="dxa" w:w="1824"/>
          </w:tcPr>
          <w:p>
            <w:r>
              <w:rPr>
                <w:sz w:val="20"/>
              </w:rPr>
              <w:t>batch_size</w:t>
            </w:r>
          </w:p>
        </w:tc>
        <w:tc>
          <w:tcPr>
            <w:tcW w:type="dxa" w:w="1824"/>
          </w:tcPr>
          <w:p>
            <w:r>
              <w:rPr>
                <w:sz w:val="20"/>
              </w:rPr>
              <w:t>256</w:t>
            </w:r>
          </w:p>
        </w:tc>
        <w:tc>
          <w:tcPr>
            <w:tcW w:type="dxa" w:w="1824"/>
          </w:tcPr>
          <w:p>
            <w:r>
              <w:rPr>
                <w:sz w:val="20"/>
              </w:rPr>
              <w:t>256</w:t>
            </w:r>
          </w:p>
        </w:tc>
        <w:tc>
          <w:tcPr>
            <w:tcW w:type="dxa" w:w="1824"/>
          </w:tcPr>
          <w:p>
            <w:r>
              <w:rPr>
                <w:sz w:val="20"/>
              </w:rPr>
              <w:t>LOW</w:t>
            </w:r>
          </w:p>
        </w:tc>
        <w:tc>
          <w:tcPr>
            <w:tcW w:type="dxa" w:w="1824"/>
          </w:tcPr>
          <w:p>
            <w:r>
              <w:rPr>
                <w:sz w:val="20"/>
              </w:rPr>
              <w:t>No significant effect tested</w:t>
            </w:r>
          </w:p>
        </w:tc>
      </w:tr>
      <w:tr>
        <w:tc>
          <w:tcPr>
            <w:tcW w:type="dxa" w:w="1824"/>
          </w:tcPr>
          <w:p>
            <w:r>
              <w:rPr>
                <w:sz w:val="20"/>
              </w:rPr>
              <w:t>tau</w:t>
            </w:r>
          </w:p>
        </w:tc>
        <w:tc>
          <w:tcPr>
            <w:tcW w:type="dxa" w:w="1824"/>
          </w:tcPr>
          <w:p>
            <w:r>
              <w:rPr>
                <w:sz w:val="20"/>
              </w:rPr>
              <w:t>0.005</w:t>
            </w:r>
          </w:p>
        </w:tc>
        <w:tc>
          <w:tcPr>
            <w:tcW w:type="dxa" w:w="1824"/>
          </w:tcPr>
          <w:p>
            <w:r>
              <w:rPr>
                <w:sz w:val="20"/>
              </w:rPr>
              <w:t>0.005</w:t>
            </w:r>
          </w:p>
        </w:tc>
        <w:tc>
          <w:tcPr>
            <w:tcW w:type="dxa" w:w="1824"/>
          </w:tcPr>
          <w:p>
            <w:r>
              <w:rPr>
                <w:sz w:val="20"/>
              </w:rPr>
              <w:t>LOW</w:t>
            </w:r>
          </w:p>
        </w:tc>
        <w:tc>
          <w:tcPr>
            <w:tcW w:type="dxa" w:w="1824"/>
          </w:tcPr>
          <w:p>
            <w:r>
              <w:rPr>
                <w:sz w:val="20"/>
              </w:rPr>
              <w:t>Default value retained</w:t>
            </w:r>
          </w:p>
        </w:tc>
      </w:tr>
      <w:tr>
        <w:tc>
          <w:tcPr>
            <w:tcW w:type="dxa" w:w="1824"/>
          </w:tcPr>
          <w:p>
            <w:r>
              <w:rPr>
                <w:sz w:val="20"/>
              </w:rPr>
              <w:t>ent_coef</w:t>
            </w:r>
          </w:p>
        </w:tc>
        <w:tc>
          <w:tcPr>
            <w:tcW w:type="dxa" w:w="1824"/>
          </w:tcPr>
          <w:p>
            <w:r>
              <w:rPr>
                <w:sz w:val="20"/>
              </w:rPr>
              <w:t>auto</w:t>
            </w:r>
          </w:p>
        </w:tc>
        <w:tc>
          <w:tcPr>
            <w:tcW w:type="dxa" w:w="1824"/>
          </w:tcPr>
          <w:p>
            <w:r>
              <w:rPr>
                <w:sz w:val="20"/>
              </w:rPr>
              <w:t>auto</w:t>
            </w:r>
          </w:p>
        </w:tc>
        <w:tc>
          <w:tcPr>
            <w:tcW w:type="dxa" w:w="1824"/>
          </w:tcPr>
          <w:p>
            <w:r>
              <w:rPr>
                <w:sz w:val="20"/>
              </w:rPr>
              <w:t>N/A</w:t>
            </w:r>
          </w:p>
        </w:tc>
        <w:tc>
          <w:tcPr>
            <w:tcW w:type="dxa" w:w="1824"/>
          </w:tcPr>
          <w:p>
            <w:r>
              <w:rPr>
                <w:sz w:val="20"/>
              </w:rPr>
              <w:t>Automatic tuning scales to target entropy H=−N</w:t>
            </w:r>
          </w:p>
        </w:tc>
      </w:tr>
    </w:tbl>
    <w:p/>
    <w:p>
      <w:pPr>
        <w:spacing w:before="200" w:after="80"/>
      </w:pPr>
      <w:r>
        <w:rPr>
          <w:rFonts w:ascii="Arial" w:hAnsi="Arial"/>
          <w:b/>
          <w:color w:val="000000"/>
          <w:sz w:val="24"/>
          <w:u w:val="single"/>
        </w:rPr>
        <w:t>PPO — Most Sensitive Parameters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Parameter</w:t>
            </w:r>
          </w:p>
        </w:tc>
        <w:tc>
          <w:tcPr>
            <w:tcW w:type="dxa" w:w="1824"/>
          </w:tcPr>
          <w:p>
            <w:r>
              <w:rPr>
                <w:b/>
                <w:sz w:val="20"/>
              </w:rPr>
              <w:t>Default</w:t>
            </w:r>
          </w:p>
        </w:tc>
        <w:tc>
          <w:tcPr>
            <w:tcW w:type="dxa" w:w="1824"/>
          </w:tcPr>
          <w:p>
            <w:r>
              <w:rPr>
                <w:b/>
                <w:sz w:val="20"/>
              </w:rPr>
              <w:t>Final</w:t>
            </w:r>
          </w:p>
        </w:tc>
        <w:tc>
          <w:tcPr>
            <w:tcW w:type="dxa" w:w="1824"/>
          </w:tcPr>
          <w:p>
            <w:r>
              <w:rPr>
                <w:b/>
                <w:sz w:val="20"/>
              </w:rPr>
              <w:t>Sensitivity</w:t>
            </w:r>
          </w:p>
        </w:tc>
        <w:tc>
          <w:tcPr>
            <w:tcW w:type="dxa" w:w="1824"/>
          </w:tcPr>
          <w:p>
            <w:r>
              <w:rPr>
                <w:b/>
                <w:sz w:val="20"/>
              </w:rPr>
              <w:t>Finding</w:t>
            </w:r>
          </w:p>
        </w:tc>
      </w:tr>
      <w:tr>
        <w:tc>
          <w:tcPr>
            <w:tcW w:type="dxa" w:w="1824"/>
          </w:tcPr>
          <w:p>
            <w:r>
              <w:rPr>
                <w:sz w:val="20"/>
              </w:rPr>
              <w:t>learning_rate</w:t>
            </w:r>
          </w:p>
        </w:tc>
        <w:tc>
          <w:tcPr>
            <w:tcW w:type="dxa" w:w="1824"/>
          </w:tcPr>
          <w:p>
            <w:r>
              <w:rPr>
                <w:sz w:val="20"/>
              </w:rPr>
              <w:t>3×10⁻⁴</w:t>
            </w:r>
          </w:p>
        </w:tc>
        <w:tc>
          <w:tcPr>
            <w:tcW w:type="dxa" w:w="1824"/>
          </w:tcPr>
          <w:p>
            <w:r>
              <w:rPr>
                <w:sz w:val="20"/>
              </w:rPr>
              <w:t>1×10⁻³</w:t>
            </w:r>
          </w:p>
        </w:tc>
        <w:tc>
          <w:tcPr>
            <w:tcW w:type="dxa" w:w="1824"/>
          </w:tcPr>
          <w:p>
            <w:r>
              <w:rPr>
                <w:sz w:val="20"/>
              </w:rPr>
              <w:t>HIGH</w:t>
            </w:r>
          </w:p>
        </w:tc>
        <w:tc>
          <w:tcPr>
            <w:tcW w:type="dxa" w:w="1824"/>
          </w:tcPr>
          <w:p>
            <w:r>
              <w:rPr>
                <w:sz w:val="20"/>
              </w:rPr>
              <w:t>Same as SAC — higher lr essential</w:t>
            </w:r>
          </w:p>
        </w:tc>
      </w:tr>
      <w:tr>
        <w:tc>
          <w:tcPr>
            <w:tcW w:type="dxa" w:w="1824"/>
          </w:tcPr>
          <w:p>
            <w:r>
              <w:rPr>
                <w:sz w:val="20"/>
              </w:rPr>
              <w:t>ent_coef</w:t>
            </w:r>
          </w:p>
        </w:tc>
        <w:tc>
          <w:tcPr>
            <w:tcW w:type="dxa" w:w="1824"/>
          </w:tcPr>
          <w:p>
            <w:r>
              <w:rPr>
                <w:sz w:val="20"/>
              </w:rPr>
              <w:t>0.01</w:t>
            </w:r>
          </w:p>
        </w:tc>
        <w:tc>
          <w:tcPr>
            <w:tcW w:type="dxa" w:w="1824"/>
          </w:tcPr>
          <w:p>
            <w:r>
              <w:rPr>
                <w:sz w:val="20"/>
              </w:rPr>
              <w:t>0.001</w:t>
            </w:r>
          </w:p>
        </w:tc>
        <w:tc>
          <w:tcPr>
            <w:tcW w:type="dxa" w:w="1824"/>
          </w:tcPr>
          <w:p>
            <w:r>
              <w:rPr>
                <w:sz w:val="20"/>
              </w:rPr>
              <w:t>CRITICAL</w:t>
            </w:r>
          </w:p>
        </w:tc>
        <w:tc>
          <w:tcPr>
            <w:tcW w:type="dxa" w:w="1824"/>
          </w:tcPr>
          <w:p>
            <w:r>
              <w:rPr>
                <w:sz w:val="20"/>
              </w:rPr>
              <w:t>ent_coef=0.05 caused policy collapse (std=21,600). Reducing to 0.001 solved it</w:t>
            </w:r>
          </w:p>
        </w:tc>
      </w:tr>
      <w:tr>
        <w:tc>
          <w:tcPr>
            <w:tcW w:type="dxa" w:w="1824"/>
          </w:tcPr>
          <w:p>
            <w:r>
              <w:rPr>
                <w:sz w:val="20"/>
              </w:rPr>
              <w:t>net_arch</w:t>
            </w:r>
          </w:p>
        </w:tc>
        <w:tc>
          <w:tcPr>
            <w:tcW w:type="dxa" w:w="1824"/>
          </w:tcPr>
          <w:p>
            <w:r>
              <w:rPr>
                <w:sz w:val="20"/>
              </w:rPr>
              <w:t>[256,256]</w:t>
            </w:r>
          </w:p>
        </w:tc>
        <w:tc>
          <w:tcPr>
            <w:tcW w:type="dxa" w:w="1824"/>
          </w:tcPr>
          <w:p>
            <w:r>
              <w:rPr>
                <w:sz w:val="20"/>
              </w:rPr>
              <w:t>[400,300]</w:t>
            </w:r>
          </w:p>
        </w:tc>
        <w:tc>
          <w:tcPr>
            <w:tcW w:type="dxa" w:w="1824"/>
          </w:tcPr>
          <w:p>
            <w:r>
              <w:rPr>
                <w:sz w:val="20"/>
              </w:rPr>
              <w:t>MEDIUM</w:t>
            </w:r>
          </w:p>
        </w:tc>
        <w:tc>
          <w:tcPr>
            <w:tcW w:type="dxa" w:w="1824"/>
          </w:tcPr>
          <w:p>
            <w:r>
              <w:rPr>
                <w:sz w:val="20"/>
              </w:rPr>
              <w:t>Larger network improved stability</w:t>
            </w:r>
          </w:p>
        </w:tc>
      </w:tr>
      <w:tr>
        <w:tc>
          <w:tcPr>
            <w:tcW w:type="dxa" w:w="1824"/>
          </w:tcPr>
          <w:p>
            <w:r>
              <w:rPr>
                <w:sz w:val="20"/>
              </w:rPr>
              <w:t>n_steps</w:t>
            </w:r>
          </w:p>
        </w:tc>
        <w:tc>
          <w:tcPr>
            <w:tcW w:type="dxa" w:w="1824"/>
          </w:tcPr>
          <w:p>
            <w:r>
              <w:rPr>
                <w:sz w:val="20"/>
              </w:rPr>
              <w:t>2048</w:t>
            </w:r>
          </w:p>
        </w:tc>
        <w:tc>
          <w:tcPr>
            <w:tcW w:type="dxa" w:w="1824"/>
          </w:tcPr>
          <w:p>
            <w:r>
              <w:rPr>
                <w:sz w:val="20"/>
              </w:rPr>
              <w:t>2048</w:t>
            </w:r>
          </w:p>
        </w:tc>
        <w:tc>
          <w:tcPr>
            <w:tcW w:type="dxa" w:w="1824"/>
          </w:tcPr>
          <w:p>
            <w:r>
              <w:rPr>
                <w:sz w:val="20"/>
              </w:rPr>
              <w:t>LOW</w:t>
            </w:r>
          </w:p>
        </w:tc>
        <w:tc>
          <w:tcPr>
            <w:tcW w:type="dxa" w:w="1824"/>
          </w:tcPr>
          <w:p>
            <w:r>
              <w:rPr>
                <w:sz w:val="20"/>
              </w:rPr>
              <w:t>Default retained — ~7 episodes per update</w:t>
            </w:r>
          </w:p>
        </w:tc>
      </w:tr>
      <w:tr>
        <w:tc>
          <w:tcPr>
            <w:tcW w:type="dxa" w:w="1824"/>
          </w:tcPr>
          <w:p>
            <w:r>
              <w:rPr>
                <w:sz w:val="20"/>
              </w:rPr>
              <w:t>n_epochs</w:t>
            </w:r>
          </w:p>
        </w:tc>
        <w:tc>
          <w:tcPr>
            <w:tcW w:type="dxa" w:w="1824"/>
          </w:tcPr>
          <w:p>
            <w:r>
              <w:rPr>
                <w:sz w:val="20"/>
              </w:rPr>
              <w:t>10</w:t>
            </w:r>
          </w:p>
        </w:tc>
        <w:tc>
          <w:tcPr>
            <w:tcW w:type="dxa" w:w="1824"/>
          </w:tcPr>
          <w:p>
            <w:r>
              <w:rPr>
                <w:sz w:val="20"/>
              </w:rPr>
              <w:t>10</w:t>
            </w:r>
          </w:p>
        </w:tc>
        <w:tc>
          <w:tcPr>
            <w:tcW w:type="dxa" w:w="1824"/>
          </w:tcPr>
          <w:p>
            <w:r>
              <w:rPr>
                <w:sz w:val="20"/>
              </w:rPr>
              <w:t>LOW</w:t>
            </w:r>
          </w:p>
        </w:tc>
        <w:tc>
          <w:tcPr>
            <w:tcW w:type="dxa" w:w="1824"/>
          </w:tcPr>
          <w:p>
            <w:r>
              <w:rPr>
                <w:sz w:val="20"/>
              </w:rPr>
              <w:t>Default retained</w:t>
            </w:r>
          </w:p>
        </w:tc>
      </w:tr>
      <w:tr>
        <w:tc>
          <w:tcPr>
            <w:tcW w:type="dxa" w:w="1824"/>
          </w:tcPr>
          <w:p>
            <w:r>
              <w:rPr>
                <w:sz w:val="20"/>
              </w:rPr>
              <w:t>clip_range</w:t>
            </w:r>
          </w:p>
        </w:tc>
        <w:tc>
          <w:tcPr>
            <w:tcW w:type="dxa" w:w="1824"/>
          </w:tcPr>
          <w:p>
            <w:r>
              <w:rPr>
                <w:sz w:val="20"/>
              </w:rPr>
              <w:t>0.2</w:t>
            </w:r>
          </w:p>
        </w:tc>
        <w:tc>
          <w:tcPr>
            <w:tcW w:type="dxa" w:w="1824"/>
          </w:tcPr>
          <w:p>
            <w:r>
              <w:rPr>
                <w:sz w:val="20"/>
              </w:rPr>
              <w:t>0.2</w:t>
            </w:r>
          </w:p>
        </w:tc>
        <w:tc>
          <w:tcPr>
            <w:tcW w:type="dxa" w:w="1824"/>
          </w:tcPr>
          <w:p>
            <w:r>
              <w:rPr>
                <w:sz w:val="20"/>
              </w:rPr>
              <w:t>LOW</w:t>
            </w:r>
          </w:p>
        </w:tc>
        <w:tc>
          <w:tcPr>
            <w:tcW w:type="dxa" w:w="1824"/>
          </w:tcPr>
          <w:p>
            <w:r>
              <w:rPr>
                <w:sz w:val="20"/>
              </w:rPr>
              <w:t>Standard value — not tested</w:t>
            </w:r>
          </w:p>
        </w:tc>
      </w:tr>
    </w:tbl>
    <w:p/>
    <w:p>
      <w:pPr>
        <w:spacing w:before="320" w:after="120"/>
      </w:pPr>
      <w:r>
        <w:rPr>
          <w:rFonts w:ascii="Arial" w:hAnsi="Arial"/>
          <w:b/>
          <w:color w:val="6F0A19"/>
          <w:sz w:val="28"/>
        </w:rPr>
        <w:t>3. Final Results (Real CAISO Data, 5 Seeds)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Algorithm</w:t>
            </w:r>
          </w:p>
        </w:tc>
        <w:tc>
          <w:tcPr>
            <w:tcW w:type="dxa" w:w="1520"/>
          </w:tcPr>
          <w:p>
            <w:r>
              <w:rPr>
                <w:b/>
                <w:sz w:val="20"/>
              </w:rPr>
              <w:t>Mean Return</w:t>
            </w:r>
          </w:p>
        </w:tc>
        <w:tc>
          <w:tcPr>
            <w:tcW w:type="dxa" w:w="1520"/>
          </w:tcPr>
          <w:p>
            <w:r>
              <w:rPr>
                <w:b/>
                <w:sz w:val="20"/>
              </w:rPr>
              <w:t>Std Dev</w:t>
            </w:r>
          </w:p>
        </w:tc>
        <w:tc>
          <w:tcPr>
            <w:tcW w:type="dxa" w:w="1520"/>
          </w:tcPr>
          <w:p>
            <w:r>
              <w:rPr>
                <w:b/>
                <w:sz w:val="20"/>
              </w:rPr>
              <w:t>% of LP</w:t>
            </w:r>
          </w:p>
        </w:tc>
        <w:tc>
          <w:tcPr>
            <w:tcW w:type="dxa" w:w="1520"/>
          </w:tcPr>
          <w:p>
            <w:r>
              <w:rPr>
                <w:b/>
                <w:sz w:val="20"/>
              </w:rPr>
              <w:t>Target</w:t>
            </w:r>
          </w:p>
        </w:tc>
        <w:tc>
          <w:tcPr>
            <w:tcW w:type="dxa" w:w="1520"/>
          </w:tcPr>
          <w:p>
            <w:r>
              <w:rPr>
                <w:b/>
                <w:sz w:val="20"/>
              </w:rPr>
              <w:t>Status</w:t>
            </w:r>
          </w:p>
        </w:tc>
      </w:tr>
      <w:tr>
        <w:tc>
          <w:tcPr>
            <w:tcW w:type="dxa" w:w="1520"/>
          </w:tcPr>
          <w:p>
            <w:r>
              <w:rPr>
                <w:sz w:val="20"/>
              </w:rPr>
              <w:t>SAC</w:t>
            </w:r>
          </w:p>
        </w:tc>
        <w:tc>
          <w:tcPr>
            <w:tcW w:type="dxa" w:w="1520"/>
          </w:tcPr>
          <w:p>
            <w:r>
              <w:rPr>
                <w:sz w:val="20"/>
              </w:rPr>
              <w:t>$118.08</w:t>
            </w:r>
          </w:p>
        </w:tc>
        <w:tc>
          <w:tcPr>
            <w:tcW w:type="dxa" w:w="1520"/>
          </w:tcPr>
          <w:p>
            <w:r>
              <w:rPr>
                <w:sz w:val="20"/>
              </w:rPr>
              <w:t>±$3.34</w:t>
            </w:r>
          </w:p>
        </w:tc>
        <w:tc>
          <w:tcPr>
            <w:tcW w:type="dxa" w:w="1520"/>
          </w:tcPr>
          <w:p>
            <w:r>
              <w:rPr>
                <w:sz w:val="20"/>
              </w:rPr>
              <w:t>64.6%</w:t>
            </w:r>
          </w:p>
        </w:tc>
        <w:tc>
          <w:tcPr>
            <w:tcW w:type="dxa" w:w="1520"/>
          </w:tcPr>
          <w:p>
            <w:r>
              <w:rPr>
                <w:sz w:val="20"/>
              </w:rPr>
              <w:t>≥70%</w:t>
            </w:r>
          </w:p>
        </w:tc>
        <w:tc>
          <w:tcPr>
            <w:tcW w:type="dxa" w:w="1520"/>
          </w:tcPr>
          <w:p>
            <w:r>
              <w:rPr>
                <w:sz w:val="20"/>
              </w:rPr>
              <w:t>Below — very close</w:t>
            </w:r>
          </w:p>
        </w:tc>
      </w:tr>
      <w:tr>
        <w:tc>
          <w:tcPr>
            <w:tcW w:type="dxa" w:w="1520"/>
          </w:tcPr>
          <w:p>
            <w:r>
              <w:rPr>
                <w:sz w:val="20"/>
              </w:rPr>
              <w:t>PPO</w:t>
            </w:r>
          </w:p>
        </w:tc>
        <w:tc>
          <w:tcPr>
            <w:tcW w:type="dxa" w:w="1520"/>
          </w:tcPr>
          <w:p>
            <w:r>
              <w:rPr>
                <w:sz w:val="20"/>
              </w:rPr>
              <w:t>$87.40</w:t>
            </w:r>
          </w:p>
        </w:tc>
        <w:tc>
          <w:tcPr>
            <w:tcW w:type="dxa" w:w="1520"/>
          </w:tcPr>
          <w:p>
            <w:r>
              <w:rPr>
                <w:sz w:val="20"/>
              </w:rPr>
              <w:t>±$19.89</w:t>
            </w:r>
          </w:p>
        </w:tc>
        <w:tc>
          <w:tcPr>
            <w:tcW w:type="dxa" w:w="1520"/>
          </w:tcPr>
          <w:p>
            <w:r>
              <w:rPr>
                <w:sz w:val="20"/>
              </w:rPr>
              <w:t>47.8%</w:t>
            </w:r>
          </w:p>
        </w:tc>
        <w:tc>
          <w:tcPr>
            <w:tcW w:type="dxa" w:w="1520"/>
          </w:tcPr>
          <w:p>
            <w:r>
              <w:rPr>
                <w:sz w:val="20"/>
              </w:rPr>
              <w:t>≥70%</w:t>
            </w:r>
          </w:p>
        </w:tc>
        <w:tc>
          <w:tcPr>
            <w:tcW w:type="dxa" w:w="1520"/>
          </w:tcPr>
          <w:p>
            <w:r>
              <w:rPr>
                <w:sz w:val="20"/>
              </w:rPr>
              <w:t>Below target</w:t>
            </w:r>
          </w:p>
        </w:tc>
      </w:tr>
      <w:tr>
        <w:tc>
          <w:tcPr>
            <w:tcW w:type="dxa" w:w="1520"/>
          </w:tcPr>
          <w:p>
            <w:r>
              <w:rPr>
                <w:sz w:val="20"/>
              </w:rPr>
              <w:t>LP Upper Bound</w:t>
            </w:r>
          </w:p>
        </w:tc>
        <w:tc>
          <w:tcPr>
            <w:tcW w:type="dxa" w:w="1520"/>
          </w:tcPr>
          <w:p>
            <w:r>
              <w:rPr>
                <w:sz w:val="20"/>
              </w:rPr>
              <w:t>$182.83</w:t>
            </w:r>
          </w:p>
        </w:tc>
        <w:tc>
          <w:tcPr>
            <w:tcW w:type="dxa" w:w="1520"/>
          </w:tcPr>
          <w:p>
            <w:r>
              <w:rPr>
                <w:sz w:val="20"/>
              </w:rPr>
              <w:t>—</w:t>
            </w:r>
          </w:p>
        </w:tc>
        <w:tc>
          <w:tcPr>
            <w:tcW w:type="dxa" w:w="1520"/>
          </w:tcPr>
          <w:p>
            <w:r>
              <w:rPr>
                <w:sz w:val="20"/>
              </w:rPr>
              <w:t>100%</w:t>
            </w:r>
          </w:p>
        </w:tc>
        <w:tc>
          <w:tcPr>
            <w:tcW w:type="dxa" w:w="1520"/>
          </w:tcPr>
          <w:p>
            <w:r>
              <w:rPr>
                <w:sz w:val="20"/>
              </w:rPr>
              <w:t>—</w:t>
            </w:r>
          </w:p>
        </w:tc>
        <w:tc>
          <w:tcPr>
            <w:tcW w:type="dxa" w:w="1520"/>
          </w:tcPr>
          <w:p>
            <w:r>
              <w:rPr>
                <w:sz w:val="20"/>
              </w:rPr>
              <w:t>Ceiling</w:t>
            </w:r>
          </w:p>
        </w:tc>
      </w:tr>
      <w:tr>
        <w:tc>
          <w:tcPr>
            <w:tcW w:type="dxa" w:w="1520"/>
          </w:tcPr>
          <w:p>
            <w:r>
              <w:rPr>
                <w:sz w:val="20"/>
              </w:rPr>
              <w:t>Target (70% LP)</w:t>
            </w:r>
          </w:p>
        </w:tc>
        <w:tc>
          <w:tcPr>
            <w:tcW w:type="dxa" w:w="1520"/>
          </w:tcPr>
          <w:p>
            <w:r>
              <w:rPr>
                <w:sz w:val="20"/>
              </w:rPr>
              <w:t>$127.98</w:t>
            </w:r>
          </w:p>
        </w:tc>
        <w:tc>
          <w:tcPr>
            <w:tcW w:type="dxa" w:w="1520"/>
          </w:tcPr>
          <w:p>
            <w:r>
              <w:rPr>
                <w:sz w:val="20"/>
              </w:rPr>
              <w:t>—</w:t>
            </w:r>
          </w:p>
        </w:tc>
        <w:tc>
          <w:tcPr>
            <w:tcW w:type="dxa" w:w="1520"/>
          </w:tcPr>
          <w:p>
            <w:r>
              <w:rPr>
                <w:sz w:val="20"/>
              </w:rPr>
              <w:t>70%</w:t>
            </w:r>
          </w:p>
        </w:tc>
        <w:tc>
          <w:tcPr>
            <w:tcW w:type="dxa" w:w="1520"/>
          </w:tcPr>
          <w:p>
            <w:r>
              <w:rPr>
                <w:sz w:val="20"/>
              </w:rPr>
              <w:t>Required</w:t>
            </w:r>
          </w:p>
        </w:tc>
        <w:tc>
          <w:tcPr>
            <w:tcW w:type="dxa" w:w="1520"/>
          </w:tcPr>
          <w:p>
            <w:r>
              <w:rPr>
                <w:sz w:val="20"/>
              </w:rPr>
              <w:t>—</w:t>
            </w:r>
          </w:p>
        </w:tc>
      </w:tr>
    </w:tbl>
    <w:p/>
    <w:p>
      <w:pPr>
        <w:spacing w:before="320" w:after="120"/>
      </w:pPr>
      <w:r>
        <w:rPr>
          <w:rFonts w:ascii="Arial" w:hAnsi="Arial"/>
          <w:b/>
          <w:color w:val="6F0A19"/>
          <w:sz w:val="28"/>
        </w:rPr>
        <w:t>4. What Was Sensitive</w:t>
      </w:r>
    </w:p>
    <w:p>
      <w:pPr>
        <w:spacing w:after="120" w:line="260" w:lineRule="exact"/>
        <w:jc w:val="both"/>
      </w:pPr>
      <w:r>
        <w:rPr>
          <w:rFonts w:ascii="Palatino Linotype" w:hAnsi="Palatino Linotype"/>
          <w:sz w:val="22"/>
        </w:rPr>
        <w:t>The three most impactful changes across both algorithms were: (1) learning_starts for SAC — reducing from 5000 to 1000 gave the single largest improvement in early sample efficiency; (2) buffer_size for SAC — increasing to 500K prevented the replay buffer from being overwritten repeatedly in early training; (3) ent_coef for PPO — this was the most critical parameter: the default value of 0.05 caused catastrophic policy collapse (action standard deviation exploding to 21,600), while 0.001 produced stable training throughout all 5 seeds.</w:t>
      </w:r>
    </w:p>
    <w:p>
      <w:pPr>
        <w:spacing w:before="320" w:after="120"/>
      </w:pPr>
      <w:r>
        <w:rPr>
          <w:rFonts w:ascii="Arial" w:hAnsi="Arial"/>
          <w:b/>
          <w:color w:val="6F0A19"/>
          <w:sz w:val="28"/>
        </w:rPr>
        <w:t>5. Surprises</w:t>
      </w:r>
    </w:p>
    <w:p>
      <w:pPr>
        <w:spacing w:after="120" w:line="260" w:lineRule="exact"/>
        <w:jc w:val="both"/>
      </w:pPr>
      <w:r>
        <w:rPr>
          <w:rFonts w:ascii="Palatino Linotype" w:hAnsi="Palatino Linotype"/>
          <w:sz w:val="22"/>
        </w:rPr>
        <w:t>Two unexpected findings emerged. First, synthetic price data has an inherent performance ceiling of ~$230-248 regardless of hyperparameter tuning — all 5 tuning trials plateaued at this level. Switching to real CAISO data immediately produced higher and more variable returns, confirming the limitation was in the data, not the algorithms. Second, SAC showed remarkably low seed-to-seed variance (±$3.34) compared to PPO (±$19.89), suggesting SAC is more robust to random initialisation at N=1 — an advantage that may diminish at high N where SAC's larger entropy target introduces more variability.</w:t>
      </w:r>
    </w:p>
    <w:p>
      <w:pPr>
        <w:spacing w:before="320" w:after="120"/>
      </w:pPr>
      <w:r>
        <w:rPr>
          <w:rFonts w:ascii="Arial" w:hAnsi="Arial"/>
          <w:b/>
          <w:color w:val="6F0A19"/>
          <w:sz w:val="28"/>
        </w:rPr>
        <w:t>6. Conclusion</w:t>
      </w:r>
    </w:p>
    <w:p>
      <w:pPr>
        <w:spacing w:after="120" w:line="260" w:lineRule="exact"/>
        <w:jc w:val="both"/>
      </w:pPr>
      <w:r>
        <w:rPr>
          <w:rFonts w:ascii="Palatino Linotype" w:hAnsi="Palatino Linotype"/>
          <w:sz w:val="22"/>
        </w:rPr>
        <w:t>Neither algorithm reached the 70% LP acceptance criterion on real CAISO data with 1M steps. SAC achieved 64.6% LP (only $9.90 below target) and PPO achieved 47.8% LP. Both algorithms correctly learned the buy-low/sell-high strategy. The results are consistent with prior literature and provide a validated, locked hyperparameter configuration for the Milestone 3 scalability sweep.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