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Lost Username and Password</w:t>
      </w:r>
    </w:p>
    <w:p>
      <w:pPr>
        <w:pStyle w:val="ListParagraph"/>
        <w:numPr>
          <w:ilvl w:val="0"/>
          <w:numId w:val="2"/>
        </w:numPr>
      </w:pPr>
      <w:r>
        <w:t xml:space="preserve">Attempt username recovery first, usually via the account's registered email</w:t>
      </w:r>
    </w:p>
    <w:p>
      <w:pPr>
        <w:pStyle w:val="ListParagraph"/>
        <w:numPr>
          <w:ilvl w:val="0"/>
          <w:numId w:val="2"/>
        </w:numPr>
      </w:pPr>
      <w:r>
        <w:t xml:space="preserve">If that fails, escalate to the help desk for manual identity verification</w:t>
      </w:r>
    </w:p>
    <w:p>
      <w:pPr>
        <w:pStyle w:val="ListParagraph"/>
        <w:numPr>
          <w:ilvl w:val="0"/>
          <w:numId w:val="2"/>
        </w:numPr>
      </w:pPr>
      <w:r>
        <w:t xml:space="preserve">Once identity is confirmed, issue a temporary password and require an immediate change on next login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2026-09-09T07:18:42.290Z</dcterms:created>
  <dcterms:modified xsi:type="dcterms:W3CDTF">2026-09-09T07:18:42.290Z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