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Rajesh Chavan</w:t>
      </w:r>
    </w:p>
    <w:p>
      <w:pPr>
        <w:spacing w:after="400"/>
        <w:jc w:val="center"/>
      </w:pPr>
      <w:r>
        <w:rPr>
          <w:rFonts w:ascii="Arial" w:cs="Arial" w:eastAsia="Arial" w:hAnsi="Arial"/>
          <w:color w:val="555555"/>
          <w:sz w:val="24"/>
          <w:szCs w:val="24"/>
        </w:rPr>
        <w:t xml:space="preserve">Chief Strategy &amp; Growth Officer (CSGO)</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Rajesh Chavan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Chief Strategy &amp; Growth Officer (CSGO)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Leadership</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Chief Strategy &amp; Growth Officer (CSGO)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Full-time (100%)</w:t>
      </w:r>
    </w:p>
    <w:p>
      <w:pPr>
        <w:spacing w:after="120"/>
      </w:pPr>
      <w:r>
        <w:rPr>
          <w:rFonts w:ascii="Arial" w:cs="Arial" w:eastAsia="Arial" w:hAnsi="Arial"/>
          <w:sz w:val="22"/>
          <w:szCs w:val="22"/>
        </w:rPr>
        <w:t xml:space="preserve">The Employee reports directly to: CEO / COO</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Strategy and partnership ecosystem development. Market opportunity evaluation. 10+ years strategic leadership.</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The Employee is expected to work full-time hours.</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900,000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75,000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20% of the annual base salary (NOK 180,000),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Partnership closures (enterprise clients, research institutions): 8% bonus</w:t>
      </w:r>
    </w:p>
    <w:p>
      <w:pPr>
        <w:pStyle w:val="ListParagraph"/>
        <w:numPr>
          <w:ilvl w:val="0"/>
          <w:numId w:val="2"/>
        </w:numPr>
      </w:pPr>
      <w:r>
        <w:rPr>
          <w:rFonts w:ascii="Arial" w:cs="Arial" w:eastAsia="Arial" w:hAnsi="Arial"/>
          <w:sz w:val="22"/>
          <w:szCs w:val="22"/>
        </w:rPr>
        <w:t xml:space="preserve">Market expansion milestones (new verticals entered): 5% bonus</w:t>
      </w:r>
    </w:p>
    <w:p>
      <w:pPr>
        <w:pStyle w:val="ListParagraph"/>
        <w:numPr>
          <w:ilvl w:val="0"/>
          <w:numId w:val="2"/>
        </w:numPr>
      </w:pPr>
      <w:r>
        <w:rPr>
          <w:rFonts w:ascii="Arial" w:cs="Arial" w:eastAsia="Arial" w:hAnsi="Arial"/>
          <w:sz w:val="22"/>
          <w:szCs w:val="22"/>
        </w:rPr>
        <w:t xml:space="preserve">Revenue pipeline development (qualified leads): 4% bonus</w:t>
      </w:r>
    </w:p>
    <w:p>
      <w:pPr>
        <w:pStyle w:val="ListParagraph"/>
        <w:numPr>
          <w:ilvl w:val="0"/>
          <w:numId w:val="2"/>
        </w:numPr>
      </w:pPr>
      <w:r>
        <w:rPr>
          <w:rFonts w:ascii="Arial" w:cs="Arial" w:eastAsia="Arial" w:hAnsi="Arial"/>
          <w:sz w:val="22"/>
          <w:szCs w:val="22"/>
        </w:rPr>
        <w:t xml:space="preserve">Competitive intelligence reports delivered: 3%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Partnership negotiation authority. Travel budget for international business development: NOK 150,000/year.</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Qm9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4.0% in Qm9 AS + 1.5% in QDaria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12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3 months.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Rajesh Chavan</w:t>
            </w:r>
          </w:p>
          <w:p>
            <w:r>
              <w:rPr>
                <w:rFonts w:ascii="Arial" w:cs="Arial" w:eastAsia="Arial" w:hAnsi="Arial"/>
                <w:color w:val="555555"/>
                <w:sz w:val="18"/>
                <w:szCs w:val="18"/>
              </w:rPr>
              <w:t xml:space="preserve">Chief Strategy &amp; Growth Officer (CSGO)</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2026-02-05T12:45:20.500Z</dcterms:created>
  <dcterms:modified xsi:type="dcterms:W3CDTF">2026-02-05T12:45:20.500Z</dcterms:modified>
</cp:coreProperties>
</file>

<file path=docProps/custom.xml><?xml version="1.0" encoding="utf-8"?>
<Properties xmlns="http://schemas.openxmlformats.org/officeDocument/2006/custom-properties" xmlns:vt="http://schemas.openxmlformats.org/officeDocument/2006/docPropsVTypes"/>
</file>