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0A1628"/>
          <w:sz w:val="40"/>
          <w:szCs w:val="40"/>
        </w:rPr>
        <w:t xml:space="preserve">EMPLOYMENT CONTRACT</w:t>
      </w:r>
    </w:p>
    <w:p>
      <w:pPr>
        <w:spacing w:after="400"/>
        <w:jc w:val="center"/>
      </w:pPr>
      <w:r>
        <w:rPr>
          <w:rFonts w:ascii="Arial" w:cs="Arial" w:eastAsia="Arial" w:hAnsi="Arial"/>
          <w:color w:val="06B6D4"/>
          <w:sz w:val="28"/>
          <w:szCs w:val="28"/>
        </w:rPr>
        <w:t xml:space="preserve">QDaria Holdings AS</w:t>
      </w:r>
    </w:p>
    <w:p>
      <w:pPr>
        <w:spacing w:after="200"/>
      </w:pPr>
    </w:p>
    <w:p>
      <w:pPr>
        <w:spacing w:after="100"/>
        <w:jc w:val="center"/>
      </w:pPr>
      <w:r>
        <w:rPr>
          <w:rFonts w:ascii="Arial" w:cs="Arial" w:eastAsia="Arial" w:hAnsi="Arial"/>
          <w:b/>
          <w:bCs/>
          <w:sz w:val="32"/>
          <w:szCs w:val="32"/>
        </w:rPr>
        <w:t xml:space="preserve">Svein-Erik Nilsen</w:t>
      </w:r>
    </w:p>
    <w:p>
      <w:pPr>
        <w:spacing w:after="400"/>
        <w:jc w:val="center"/>
      </w:pPr>
      <w:r>
        <w:rPr>
          <w:rFonts w:ascii="Arial" w:cs="Arial" w:eastAsia="Arial" w:hAnsi="Arial"/>
          <w:color w:val="555555"/>
          <w:sz w:val="24"/>
          <w:szCs w:val="24"/>
        </w:rPr>
        <w:t xml:space="preserve">Chief Operating Officer (COO)</w:t>
      </w:r>
    </w:p>
    <w:p>
      <w:pPr>
        <w:spacing w:after="200"/>
      </w:pPr>
    </w:p>
    <w:p>
      <w:pPr>
        <w:spacing w:after="200"/>
      </w:pPr>
    </w:p>
    <w:p>
      <w:pPr>
        <w:jc w:val="center"/>
      </w:pPr>
      <w:r>
        <w:rPr>
          <w:rFonts w:ascii="Arial" w:cs="Arial" w:eastAsia="Arial" w:hAnsi="Arial"/>
          <w:color w:val="777777"/>
          <w:sz w:val="22"/>
          <w:szCs w:val="22"/>
        </w:rPr>
        <w:t xml:space="preserve">Date: February 5, 2026</w:t>
      </w:r>
    </w:p>
    <w:p>
      <w:pPr>
        <w:jc w:val="center"/>
      </w:pPr>
      <w:r>
        <w:rPr>
          <w:rFonts w:ascii="Arial" w:cs="Arial" w:eastAsia="Arial" w:hAnsi="Arial"/>
          <w:b/>
          <w:bCs/>
          <w:color w:val="CC0000"/>
          <w:sz w:val="18"/>
          <w:szCs w:val="18"/>
        </w:rPr>
        <w:t xml:space="preserve">STRICTLY CONFIDENTIAL</w:t>
      </w:r>
    </w:p>
    <w:p>
      <w:r>
        <w:r>
          <w:br w:type="page"/>
        </w:r>
      </w:r>
    </w:p>
    <w:p>
      <w:pPr>
        <w:pStyle w:val="Heading1"/>
      </w:pPr>
      <w:r>
        <w:rPr>
          <w:rFonts w:ascii="Arial" w:cs="Arial" w:eastAsia="Arial" w:hAnsi="Arial"/>
        </w:rPr>
        <w:t xml:space="preserve">1. Parties to the Agreement</w:t>
      </w:r>
    </w:p>
    <w:p>
      <w:pPr>
        <w:spacing w:after="120"/>
      </w:pPr>
      <w:r>
        <w:rPr>
          <w:rFonts w:ascii="Arial" w:cs="Arial" w:eastAsia="Arial" w:hAnsi="Arial"/>
          <w:sz w:val="22"/>
          <w:szCs w:val="22"/>
        </w:rPr>
        <w:t xml:space="preserve">This Employment Contract (the 'Agreement') is entered into between: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QDaria Holdings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Organization Number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 be registered]</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Registered Address</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Oslo, Norway</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Represented by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Daniel Mo Houshmand, CEO &amp; Founder</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Svein-Erik Nilsen</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Position / Title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Chief Operating Officer (COO)</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Employment Tier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C-Suite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Date of Agreement</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February 5, 2026</w:t>
            </w:r>
          </w:p>
        </w:tc>
      </w:tr>
    </w:tbl>
    <w:p>
      <w:pPr>
        <w:spacing w:after="200"/>
      </w:pPr>
    </w:p>
    <w:p>
      <w:pPr>
        <w:spacing w:after="120"/>
      </w:pPr>
      <w:r>
        <w:rPr>
          <w:rFonts w:ascii="Arial" w:cs="Arial" w:eastAsia="Arial" w:hAnsi="Arial"/>
          <w:sz w:val="22"/>
          <w:szCs w:val="22"/>
        </w:rPr>
        <w:t xml:space="preserve">This Agreement is governed by the Norwegian Working Environment Act (Arbeidsmiljoloven) and applicable Norwegian employment law.</w:t>
      </w:r>
    </w:p>
    <w:p>
      <w:pPr>
        <w:pStyle w:val="Heading1"/>
      </w:pPr>
      <w:r>
        <w:rPr>
          <w:rFonts w:ascii="Arial" w:cs="Arial" w:eastAsia="Arial" w:hAnsi="Arial"/>
        </w:rPr>
        <w:t xml:space="preserve">2. Position, Duties, and Reporting</w:t>
      </w:r>
    </w:p>
    <w:p>
      <w:pPr>
        <w:spacing w:after="120"/>
      </w:pPr>
      <w:r>
        <w:rPr>
          <w:rFonts w:ascii="Arial" w:cs="Arial" w:eastAsia="Arial" w:hAnsi="Arial"/>
          <w:sz w:val="22"/>
          <w:szCs w:val="22"/>
        </w:rPr>
        <w:t xml:space="preserve">The Employee is engaged as Chief Operating Officer (COO) at QDaria Holdings AS. The Employee shall perform duties consistent with this position, including but not limited to responsibilities described in the attached role description.</w:t>
      </w:r>
    </w:p>
    <w:p>
      <w:pPr>
        <w:spacing w:after="120"/>
      </w:pPr>
      <w:r>
        <w:rPr>
          <w:rFonts w:ascii="Arial" w:cs="Arial" w:eastAsia="Arial" w:hAnsi="Arial"/>
          <w:sz w:val="22"/>
          <w:szCs w:val="22"/>
        </w:rPr>
        <w:t xml:space="preserve">Employment Status: Full-time (100%)</w:t>
      </w:r>
    </w:p>
    <w:p>
      <w:pPr>
        <w:spacing w:after="120"/>
      </w:pPr>
      <w:r>
        <w:rPr>
          <w:rFonts w:ascii="Arial" w:cs="Arial" w:eastAsia="Arial" w:hAnsi="Arial"/>
          <w:sz w:val="22"/>
          <w:szCs w:val="22"/>
        </w:rPr>
        <w:t xml:space="preserve">The Employee reports directly to: CEO (Daniel Mo Houshmand)</w:t>
      </w:r>
    </w:p>
    <w:p>
      <w:pPr>
        <w:spacing w:after="120"/>
      </w:pPr>
      <w:r>
        <w:rPr>
          <w:rFonts w:ascii="Arial" w:cs="Arial" w:eastAsia="Arial" w:hAnsi="Arial"/>
          <w:sz w:val="22"/>
          <w:szCs w:val="22"/>
        </w:rPr>
        <w:t xml:space="preserve">The Employer reserves the right to assign the Employee to work on specific subsidiaries or spin-off projects within the QDaria group, including but not limited to: Zipminator AS, Qm9 AS, QDiana AS, QMikeAI AS, QNilaya AS, and QIoT AS.</w:t>
      </w:r>
    </w:p>
    <w:p>
      <w:pPr>
        <w:spacing w:after="120"/>
      </w:pPr>
      <w:r>
        <w:rPr>
          <w:rFonts w:ascii="Arial" w:cs="Arial" w:eastAsia="Arial" w:hAnsi="Arial"/>
          <w:sz w:val="22"/>
          <w:szCs w:val="22"/>
        </w:rPr>
        <w:t xml:space="preserve">Background and Qualifications: Infrastructure management and organizational design expertise. 15+ years operational leadership.</w:t>
      </w:r>
    </w:p>
    <w:p>
      <w:pPr>
        <w:pStyle w:val="Heading1"/>
      </w:pPr>
      <w:r>
        <w:rPr>
          <w:rFonts w:ascii="Arial" w:cs="Arial" w:eastAsia="Arial" w:hAnsi="Arial"/>
        </w:rPr>
        <w:t xml:space="preserve">3. Commencement Date and Probation Period</w:t>
      </w:r>
    </w:p>
    <w:p>
      <w:pPr>
        <w:spacing w:after="120"/>
      </w:pPr>
      <w:r>
        <w:rPr>
          <w:rFonts w:ascii="Arial" w:cs="Arial" w:eastAsia="Arial" w:hAnsi="Arial"/>
          <w:sz w:val="22"/>
          <w:szCs w:val="22"/>
        </w:rPr>
        <w:t xml:space="preserve">The employment commences on March 1, 2026, or such other date as mutually agreed in writing.</w:t>
      </w:r>
    </w:p>
    <w:p>
      <w:pPr>
        <w:spacing w:after="120"/>
      </w:pPr>
      <w:r>
        <w:rPr>
          <w:rFonts w:ascii="Arial" w:cs="Arial" w:eastAsia="Arial" w:hAnsi="Arial"/>
          <w:sz w:val="22"/>
          <w:szCs w:val="22"/>
        </w:rPr>
        <w:t xml:space="preserve">Probation Period: The first six (6) months of employment shall constitute a probation period in accordance with Section 15-6 of the Working Environment Act. During the probation period, the notice period for either party shall be fourteen (14) calendar days.</w:t>
      </w:r>
    </w:p>
    <w:p>
      <w:pPr>
        <w:pStyle w:val="Heading1"/>
      </w:pPr>
      <w:r>
        <w:rPr>
          <w:rFonts w:ascii="Arial" w:cs="Arial" w:eastAsia="Arial" w:hAnsi="Arial"/>
        </w:rPr>
        <w:t xml:space="preserve">4. Working Hours and Place of Work</w:t>
      </w:r>
    </w:p>
    <w:p>
      <w:pPr>
        <w:spacing w:after="120"/>
      </w:pPr>
      <w:r>
        <w:rPr>
          <w:rFonts w:ascii="Arial" w:cs="Arial" w:eastAsia="Arial" w:hAnsi="Arial"/>
          <w:sz w:val="22"/>
          <w:szCs w:val="22"/>
        </w:rPr>
        <w:t xml:space="preserve">The Employee's normal working hours shall not exceed 40 hours per week (9 hours per day) in accordance with the Working Environment Act. The Employee is expected to work full-time hours.</w:t>
      </w:r>
    </w:p>
    <w:p>
      <w:pPr>
        <w:spacing w:after="120"/>
      </w:pPr>
      <w:r>
        <w:rPr>
          <w:rFonts w:ascii="Arial" w:cs="Arial" w:eastAsia="Arial" w:hAnsi="Arial"/>
          <w:sz w:val="22"/>
          <w:szCs w:val="22"/>
        </w:rPr>
        <w:t xml:space="preserve">The primary place of work shall be QDaria's offices in Oslo, Norway. Remote work may be arranged by mutual agreement. The Employer may require the Employee to travel domestically and internationally as necessary for the performance of duties.</w:t>
      </w:r>
    </w:p>
    <w:p>
      <w:pPr>
        <w:spacing w:after="120"/>
      </w:pPr>
      <w:r>
        <w:rPr>
          <w:rFonts w:ascii="Arial" w:cs="Arial" w:eastAsia="Arial" w:hAnsi="Arial"/>
          <w:sz w:val="22"/>
          <w:szCs w:val="22"/>
        </w:rPr>
        <w:t xml:space="preserve">Overtime work may be required in accordance with the Working Environment Act. Overtime compensation shall be paid at a minimum premium of 40% above the regular hourly rate, or compensated through equivalent time off as mutually agreed.</w:t>
      </w:r>
    </w:p>
    <w:p>
      <w:pPr>
        <w:pStyle w:val="Heading1"/>
      </w:pPr>
      <w:r>
        <w:rPr>
          <w:rFonts w:ascii="Arial" w:cs="Arial" w:eastAsia="Arial" w:hAnsi="Arial"/>
        </w:rPr>
        <w:t xml:space="preserve">5. Compensation</w:t>
      </w:r>
    </w:p>
    <w:p>
      <w:pPr>
        <w:pStyle w:val="Heading2"/>
      </w:pPr>
      <w:r>
        <w:rPr>
          <w:rFonts w:ascii="Arial" w:cs="Arial" w:eastAsia="Arial" w:hAnsi="Arial"/>
        </w:rPr>
        <w:t xml:space="preserve">5.1 Base Salary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Annual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1,050,000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Monthly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87,500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Payment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Monthly, paid on the 25th of each month</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Tax Deduction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 accordance with Norwegian tax regulations</w:t>
            </w:r>
          </w:p>
        </w:tc>
      </w:tr>
    </w:tbl>
    <w:p>
      <w:pPr>
        <w:spacing w:after="200"/>
      </w:pPr>
    </w:p>
    <w:p>
      <w:pPr>
        <w:spacing w:after="120"/>
      </w:pPr>
      <w:r>
        <w:rPr>
          <w:rFonts w:ascii="Arial" w:cs="Arial" w:eastAsia="Arial" w:hAnsi="Arial"/>
          <w:sz w:val="22"/>
          <w:szCs w:val="22"/>
        </w:rPr>
        <w:t xml:space="preserve">The salary shall be reviewed annually, with the first review no later than 12 months from the commencement date. Salary adjustments are not guaranteed and are subject to company performance and individual contribution.</w:t>
      </w:r>
    </w:p>
    <w:p>
      <w:pPr>
        <w:pStyle w:val="Heading2"/>
      </w:pPr>
      <w:r>
        <w:rPr>
          <w:rFonts w:ascii="Arial" w:cs="Arial" w:eastAsia="Arial" w:hAnsi="Arial"/>
        </w:rPr>
        <w:t xml:space="preserve">5.2 Performance Bonus</w:t>
      </w:r>
    </w:p>
    <w:p>
      <w:pPr>
        <w:spacing w:after="120"/>
      </w:pPr>
      <w:r>
        <w:rPr>
          <w:rFonts w:ascii="Arial" w:cs="Arial" w:eastAsia="Arial" w:hAnsi="Arial"/>
          <w:sz w:val="22"/>
          <w:szCs w:val="22"/>
        </w:rPr>
        <w:t xml:space="preserve">The Employee is eligible for an annual performance bonus of up to 25% of the annual base salary (NOK 262,500), based on the achievement of the following Key Performance Indicators (KPIs):</w:t>
      </w:r>
    </w:p>
    <w:p>
      <w:pPr>
        <w:spacing w:after="200"/>
      </w:pPr>
    </w:p>
    <w:p>
      <w:pPr>
        <w:pStyle w:val="ListParagraph"/>
        <w:numPr>
          <w:ilvl w:val="0"/>
          <w:numId w:val="2"/>
        </w:numPr>
      </w:pPr>
      <w:r>
        <w:rPr>
          <w:rFonts w:ascii="Arial" w:cs="Arial" w:eastAsia="Arial" w:hAnsi="Arial"/>
          <w:sz w:val="22"/>
          <w:szCs w:val="22"/>
        </w:rPr>
        <w:t xml:space="preserve">Operational efficiency targets (lab utilization &gt;80%): 8% bonus</w:t>
      </w:r>
    </w:p>
    <w:p>
      <w:pPr>
        <w:pStyle w:val="ListParagraph"/>
        <w:numPr>
          <w:ilvl w:val="0"/>
          <w:numId w:val="2"/>
        </w:numPr>
      </w:pPr>
      <w:r>
        <w:rPr>
          <w:rFonts w:ascii="Arial" w:cs="Arial" w:eastAsia="Arial" w:hAnsi="Arial"/>
          <w:sz w:val="22"/>
          <w:szCs w:val="22"/>
        </w:rPr>
        <w:t xml:space="preserve">Hardware deployment on schedule: 7% bonus</w:t>
      </w:r>
    </w:p>
    <w:p>
      <w:pPr>
        <w:pStyle w:val="ListParagraph"/>
        <w:numPr>
          <w:ilvl w:val="0"/>
          <w:numId w:val="2"/>
        </w:numPr>
      </w:pPr>
      <w:r>
        <w:rPr>
          <w:rFonts w:ascii="Arial" w:cs="Arial" w:eastAsia="Arial" w:hAnsi="Arial"/>
          <w:sz w:val="22"/>
          <w:szCs w:val="22"/>
        </w:rPr>
        <w:t xml:space="preserve">Team retention rate &gt;90%: 5% bonus</w:t>
      </w:r>
    </w:p>
    <w:p>
      <w:pPr>
        <w:pStyle w:val="ListParagraph"/>
        <w:numPr>
          <w:ilvl w:val="0"/>
          <w:numId w:val="2"/>
        </w:numPr>
      </w:pPr>
      <w:r>
        <w:rPr>
          <w:rFonts w:ascii="Arial" w:cs="Arial" w:eastAsia="Arial" w:hAnsi="Arial"/>
          <w:sz w:val="22"/>
          <w:szCs w:val="22"/>
        </w:rPr>
        <w:t xml:space="preserve">Budget adherence (within 5% of plan): 5% bonus</w:t>
      </w:r>
    </w:p>
    <w:p>
      <w:pPr>
        <w:spacing w:after="200"/>
      </w:pPr>
    </w:p>
    <w:p>
      <w:pPr>
        <w:spacing w:after="120"/>
      </w:pPr>
      <w:r>
        <w:rPr>
          <w:rFonts w:ascii="Arial" w:cs="Arial" w:eastAsia="Arial" w:hAnsi="Arial"/>
          <w:sz w:val="22"/>
          <w:szCs w:val="22"/>
        </w:rPr>
        <w:t xml:space="preserve">Bonus assessment shall be conducted semi-annually (June and December). Payment is made within 30 days of the assessment period close. The Employer retains discretion to adjust KPI targets based on company circumstances, with reasonable notice to the Employee.</w:t>
      </w:r>
    </w:p>
    <w:p>
      <w:pPr>
        <w:pStyle w:val="Heading2"/>
      </w:pPr>
      <w:r>
        <w:rPr>
          <w:rFonts w:ascii="Arial" w:cs="Arial" w:eastAsia="Arial" w:hAnsi="Arial"/>
        </w:rPr>
        <w:t xml:space="preserve">5.3 Holiday Pay</w:t>
      </w:r>
    </w:p>
    <w:p>
      <w:pPr>
        <w:spacing w:after="120"/>
      </w:pPr>
      <w:r>
        <w:rPr>
          <w:rFonts w:ascii="Arial" w:cs="Arial" w:eastAsia="Arial" w:hAnsi="Arial"/>
          <w:sz w:val="22"/>
          <w:szCs w:val="22"/>
        </w:rPr>
        <w:t xml:space="preserve">Holiday pay shall be calculated at 10.2% of gross salary earned in the preceding calendar year, in accordance with the Norwegian Holiday Act (Ferieloven). The Employee is entitled to 25 working days of vacation per year.</w:t>
      </w:r>
    </w:p>
    <w:p>
      <w:pPr>
        <w:pStyle w:val="Heading2"/>
      </w:pPr>
      <w:r>
        <w:rPr>
          <w:rFonts w:ascii="Arial" w:cs="Arial" w:eastAsia="Arial" w:hAnsi="Arial"/>
        </w:rPr>
        <w:t xml:space="preserve">5.4 Pension</w:t>
      </w:r>
    </w:p>
    <w:p>
      <w:pPr>
        <w:spacing w:after="120"/>
      </w:pPr>
      <w:r>
        <w:rPr>
          <w:rFonts w:ascii="Arial" w:cs="Arial" w:eastAsia="Arial" w:hAnsi="Arial"/>
          <w:sz w:val="22"/>
          <w:szCs w:val="22"/>
        </w:rPr>
        <w:t xml:space="preserve">The Employee shall be enrolled in the company's occupational pension scheme (OTP) in accordance with Norwegian law. The employer's contribution shall be a minimum of 2% of salary between 1G and 12G, with the company targeting 5% as financial circumstances allow.</w:t>
      </w:r>
    </w:p>
    <w:p>
      <w:pPr>
        <w:pStyle w:val="Heading2"/>
      </w:pPr>
      <w:r>
        <w:rPr>
          <w:rFonts w:ascii="Arial" w:cs="Arial" w:eastAsia="Arial" w:hAnsi="Arial"/>
        </w:rPr>
        <w:t xml:space="preserve">5.5 Other Benefits</w:t>
      </w:r>
    </w:p>
    <w:p>
      <w:pPr>
        <w:spacing w:after="120"/>
      </w:pPr>
      <w:r>
        <w:rPr>
          <w:rFonts w:ascii="Arial" w:cs="Arial" w:eastAsia="Arial" w:hAnsi="Arial"/>
          <w:sz w:val="22"/>
          <w:szCs w:val="22"/>
        </w:rPr>
        <w:t xml:space="preserve">The Employee shall receive the following additional benefits:</w:t>
      </w:r>
    </w:p>
    <w:p>
      <w:pPr>
        <w:spacing w:after="120"/>
      </w:pPr>
      <w:r>
        <w:rPr>
          <w:rFonts w:ascii="Arial" w:cs="Arial" w:eastAsia="Arial" w:hAnsi="Arial"/>
          <w:sz w:val="22"/>
          <w:szCs w:val="22"/>
        </w:rPr>
        <w:t xml:space="preserve">- Occupational injury insurance as required by Norwegian law</w:t>
      </w:r>
    </w:p>
    <w:p>
      <w:pPr>
        <w:spacing w:after="120"/>
      </w:pPr>
      <w:r>
        <w:rPr>
          <w:rFonts w:ascii="Arial" w:cs="Arial" w:eastAsia="Arial" w:hAnsi="Arial"/>
          <w:sz w:val="22"/>
          <w:szCs w:val="22"/>
        </w:rPr>
        <w:t xml:space="preserve">- Travel insurance for business-related travel</w:t>
      </w:r>
    </w:p>
    <w:p>
      <w:pPr>
        <w:spacing w:after="120"/>
      </w:pPr>
      <w:r>
        <w:rPr>
          <w:rFonts w:ascii="Arial" w:cs="Arial" w:eastAsia="Arial" w:hAnsi="Arial"/>
          <w:sz w:val="22"/>
          <w:szCs w:val="22"/>
        </w:rPr>
        <w:t xml:space="preserve">- Mobile phone and laptop provided by the Employer</w:t>
      </w:r>
    </w:p>
    <w:p>
      <w:pPr>
        <w:spacing w:after="120"/>
      </w:pPr>
      <w:r>
        <w:rPr>
          <w:rFonts w:ascii="Arial" w:cs="Arial" w:eastAsia="Arial" w:hAnsi="Arial"/>
          <w:sz w:val="22"/>
          <w:szCs w:val="22"/>
        </w:rPr>
        <w:t xml:space="preserve">- Internet allowance: NOK 500/month</w:t>
      </w:r>
    </w:p>
    <w:p>
      <w:pPr>
        <w:spacing w:after="120"/>
      </w:pPr>
      <w:r>
        <w:rPr>
          <w:rFonts w:ascii="Arial" w:cs="Arial" w:eastAsia="Arial" w:hAnsi="Arial"/>
          <w:sz w:val="22"/>
          <w:szCs w:val="22"/>
        </w:rPr>
        <w:t xml:space="preserve">Responsible for lab facilities management. Equipment procurement authority up to NOK 500,000.</w:t>
      </w:r>
    </w:p>
    <w:p>
      <w:r>
        <w:r>
          <w:br w:type="page"/>
        </w:r>
      </w:r>
    </w:p>
    <w:p>
      <w:pPr>
        <w:pStyle w:val="Heading1"/>
      </w:pPr>
      <w:r>
        <w:rPr>
          <w:rFonts w:ascii="Arial" w:cs="Arial" w:eastAsia="Arial" w:hAnsi="Arial"/>
        </w:rPr>
        <w:t xml:space="preserve">6. Equity Compensation</w:t>
      </w:r>
    </w:p>
    <w:p>
      <w:pPr>
        <w:pStyle w:val="Heading2"/>
      </w:pPr>
      <w:r>
        <w:rPr>
          <w:rFonts w:ascii="Arial" w:cs="Arial" w:eastAsia="Arial" w:hAnsi="Arial"/>
        </w:rPr>
        <w:t xml:space="preserve">6.1 QDaria Holdings AS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Holdings Equity Stake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2.50%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Instrument Type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Employee stock options (opsjoner) under Norwegian startup scheme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from commencement date, with 1-year cliff</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Start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2026</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Cliff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2027 (12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Full Vesting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2030 (48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Strike Price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Fair market value at grant date (to be determined by independent valuation)</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Exercise Window</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to 10 years from grant date (per Norwegian startup option scheme)</w:t>
            </w:r>
          </w:p>
        </w:tc>
      </w:tr>
    </w:tbl>
    <w:p>
      <w:pPr>
        <w:spacing w:after="200"/>
      </w:pPr>
    </w:p>
    <w:p>
      <w:pPr>
        <w:pStyle w:val="Heading2"/>
      </w:pPr>
      <w:r>
        <w:rPr>
          <w:rFonts w:ascii="Arial" w:cs="Arial" w:eastAsia="Arial" w:hAnsi="Arial"/>
        </w:rPr>
        <w:t xml:space="preserve">6.2 Subsidiary / Spin-off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Primary Subsidiary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QDaria AS (Operations)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Subsidiary Equity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4.0% in QDaria AS + 1.5% in Zipminator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with 1-year cliff (same schedule as Holdings)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Anti-dilution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Pro-rata anti-dilution rights on future subsidiary funding rounds</w:t>
            </w:r>
          </w:p>
        </w:tc>
      </w:tr>
    </w:tbl>
    <w:p>
      <w:pPr>
        <w:spacing w:after="200"/>
      </w:pPr>
    </w:p>
    <w:p>
      <w:pPr>
        <w:spacing w:after="120"/>
      </w:pPr>
      <w:r>
        <w:rPr>
          <w:rFonts w:ascii="Arial" w:cs="Arial" w:eastAsia="Arial" w:hAnsi="Arial"/>
          <w:sz w:val="22"/>
          <w:szCs w:val="22"/>
        </w:rPr>
        <w:t xml:space="preserve">The Employee's subsidiary equity provides direct exposure to the specific product line(s) they are building. QDaria Holdings AS targets individual subsidiary IPOs between 2028 and 2030, which represent potential liquidity events for subsidiary equity holders.</w:t>
      </w:r>
    </w:p>
    <w:p>
      <w:pPr>
        <w:spacing w:after="120"/>
      </w:pPr>
      <w:r>
        <w:rPr>
          <w:rFonts w:ascii="Arial" w:cs="Arial" w:eastAsia="Arial" w:hAnsi="Arial"/>
          <w:sz w:val="22"/>
          <w:szCs w:val="22"/>
        </w:rPr>
        <w:t xml:space="preserve">Tax Treatment: Under the Norwegian startup option scheme expanded in March 2025, employee stock options are taxed as capital income (37.84%) rather than salary income (up to 47.4%) upon exercise, provided the qualifying conditions are met. No employer social security contributions (14.1%) apply to qualifying options.</w:t>
      </w:r>
    </w:p>
    <w:p>
      <w:pPr>
        <w:pStyle w:val="Heading2"/>
      </w:pPr>
      <w:r>
        <w:rPr>
          <w:rFonts w:ascii="Arial" w:cs="Arial" w:eastAsia="Arial" w:hAnsi="Arial"/>
        </w:rPr>
        <w:t xml:space="preserve">6.3 Vesting Acceleration</w:t>
      </w:r>
    </w:p>
    <w:p>
      <w:pPr>
        <w:spacing w:after="120"/>
      </w:pPr>
      <w:r>
        <w:rPr>
          <w:rFonts w:ascii="Arial" w:cs="Arial" w:eastAsia="Arial" w:hAnsi="Arial"/>
          <w:sz w:val="22"/>
          <w:szCs w:val="22"/>
        </w:rPr>
        <w:t xml:space="preserve">Single-trigger acceleration: In the event of a change of control (acquisition, merger, or IPO) of QDaria Holdings AS or any subsidiary in which the Employee holds equity, 50% of unvested options shall immediately vest.</w:t>
      </w:r>
    </w:p>
    <w:p>
      <w:pPr>
        <w:spacing w:after="120"/>
      </w:pPr>
      <w:r>
        <w:rPr>
          <w:rFonts w:ascii="Arial" w:cs="Arial" w:eastAsia="Arial" w:hAnsi="Arial"/>
          <w:sz w:val="22"/>
          <w:szCs w:val="22"/>
        </w:rPr>
        <w:t xml:space="preserve">Double-trigger acceleration: If the Employee is terminated without cause within 12 months following a change of control, 100% of remaining unvested options shall immediately vest.</w:t>
      </w:r>
    </w:p>
    <w:p>
      <w:pPr>
        <w:spacing w:after="120"/>
      </w:pPr>
      <w:r>
        <w:rPr>
          <w:rFonts w:ascii="Arial" w:cs="Arial" w:eastAsia="Arial" w:hAnsi="Arial"/>
          <w:sz w:val="22"/>
          <w:szCs w:val="22"/>
        </w:rPr>
        <w:t xml:space="preserve">Good leaver provisions: If the Employee resigns for Good Reason (material reduction in role, salary, or relocation &gt;50km) or is terminated without cause, vested options remain exercisable for 12 months following departure.</w:t>
      </w:r>
    </w:p>
    <w:p>
      <w:pPr>
        <w:pStyle w:val="Heading1"/>
      </w:pPr>
      <w:r>
        <w:rPr>
          <w:rFonts w:ascii="Arial" w:cs="Arial" w:eastAsia="Arial" w:hAnsi="Arial"/>
        </w:rPr>
        <w:t xml:space="preserve">7. Sick Leave and Insurance</w:t>
      </w:r>
    </w:p>
    <w:p>
      <w:pPr>
        <w:spacing w:after="120"/>
      </w:pPr>
      <w:r>
        <w:rPr>
          <w:rFonts w:ascii="Arial" w:cs="Arial" w:eastAsia="Arial" w:hAnsi="Arial"/>
          <w:sz w:val="22"/>
          <w:szCs w:val="22"/>
        </w:rPr>
        <w:t xml:space="preserve">The Employee is entitled to sick leave in accordance with the National Insurance Act. The Employer shall pay full salary for the first 16 calendar days of sick leave (employer period). Thereafter, the Norwegian Labour and Welfare Administration (NAV) shall cover sick pay for up to 52 weeks at 100% of salary up to 6G.</w:t>
      </w:r>
    </w:p>
    <w:p>
      <w:pPr>
        <w:pStyle w:val="Heading1"/>
      </w:pPr>
      <w:r>
        <w:rPr>
          <w:rFonts w:ascii="Arial" w:cs="Arial" w:eastAsia="Arial" w:hAnsi="Arial"/>
        </w:rPr>
        <w:t xml:space="preserve">8. Intellectual Property</w:t>
      </w:r>
    </w:p>
    <w:p>
      <w:pPr>
        <w:spacing w:after="120"/>
      </w:pPr>
      <w:r>
        <w:rPr>
          <w:rFonts w:ascii="Arial" w:cs="Arial" w:eastAsia="Arial" w:hAnsi="Arial"/>
          <w:sz w:val="22"/>
          <w:szCs w:val="22"/>
        </w:rPr>
        <w:t xml:space="preserve">All intellectual property, inventions, discoveries, algorithms, software code, research findings, trade secrets, and other proprietary materials created by the Employee during the course of employment, or using the Employer's resources, shall be the exclusive property of QDaria Holdings AS or the relevant subsidiary.</w:t>
      </w:r>
    </w:p>
    <w:p>
      <w:pPr>
        <w:spacing w:after="120"/>
      </w:pPr>
      <w:r>
        <w:rPr>
          <w:rFonts w:ascii="Arial" w:cs="Arial" w:eastAsia="Arial" w:hAnsi="Arial"/>
          <w:sz w:val="22"/>
          <w:szCs w:val="22"/>
        </w:rPr>
        <w:t xml:space="preserve">The Employee hereby assigns all rights, title, and interest in such intellectual property to the Employer. This assignment covers all work product regardless of whether it was created during normal working hours, at the workplace, or using the Employer's equipment.</w:t>
      </w:r>
    </w:p>
    <w:p>
      <w:pPr>
        <w:spacing w:after="120"/>
      </w:pPr>
      <w:r>
        <w:rPr>
          <w:rFonts w:ascii="Arial" w:cs="Arial" w:eastAsia="Arial" w:hAnsi="Arial"/>
          <w:sz w:val="22"/>
          <w:szCs w:val="22"/>
        </w:rPr>
        <w:t xml:space="preserve">The Employee shall promptly disclose any potentially patentable inventions and cooperate fully in patent applications and other IP protection measures.</w:t>
      </w:r>
    </w:p>
    <w:p>
      <w:pPr>
        <w:spacing w:after="120"/>
      </w:pPr>
      <w:r>
        <w:rPr>
          <w:rFonts w:ascii="Arial" w:cs="Arial" w:eastAsia="Arial" w:hAnsi="Arial"/>
          <w:sz w:val="22"/>
          <w:szCs w:val="22"/>
        </w:rPr>
        <w:t xml:space="preserve">This IP assignment clause applies to the Employee's rights under the Norwegian Employee Inventions Act (Arbeidstakeroppfinnelsesloven).</w:t>
      </w:r>
    </w:p>
    <w:p>
      <w:pPr>
        <w:pStyle w:val="Heading1"/>
      </w:pPr>
      <w:r>
        <w:rPr>
          <w:rFonts w:ascii="Arial" w:cs="Arial" w:eastAsia="Arial" w:hAnsi="Arial"/>
        </w:rPr>
        <w:t xml:space="preserve">9. Confidentiality</w:t>
      </w:r>
    </w:p>
    <w:p>
      <w:pPr>
        <w:spacing w:after="120"/>
      </w:pPr>
      <w:r>
        <w:rPr>
          <w:rFonts w:ascii="Arial" w:cs="Arial" w:eastAsia="Arial" w:hAnsi="Arial"/>
          <w:sz w:val="22"/>
          <w:szCs w:val="22"/>
        </w:rPr>
        <w:t xml:space="preserve">The Employee shall maintain strict confidentiality regarding all proprietary information, trade secrets, business strategies, financial data, technical research, quantum computing algorithms, client information, and any other confidential materials belonging to QDaria Holdings AS and its subsidiaries.</w:t>
      </w:r>
    </w:p>
    <w:p>
      <w:pPr>
        <w:spacing w:after="120"/>
      </w:pPr>
      <w:r>
        <w:rPr>
          <w:rFonts w:ascii="Arial" w:cs="Arial" w:eastAsia="Arial" w:hAnsi="Arial"/>
          <w:sz w:val="22"/>
          <w:szCs w:val="22"/>
        </w:rPr>
        <w:t xml:space="preserve">This confidentiality obligation shall remain in effect indefinitely and shall survive the termination of this Agreement for any reason.</w:t>
      </w:r>
    </w:p>
    <w:p>
      <w:pPr>
        <w:spacing w:after="120"/>
      </w:pPr>
      <w:r>
        <w:rPr>
          <w:rFonts w:ascii="Arial" w:cs="Arial" w:eastAsia="Arial" w:hAnsi="Arial"/>
          <w:sz w:val="22"/>
          <w:szCs w:val="22"/>
        </w:rPr>
        <w:t xml:space="preserve">Breach of confidentiality may result in immediate termination and legal action for damages.</w:t>
      </w:r>
    </w:p>
    <w:p>
      <w:pPr>
        <w:pStyle w:val="Heading1"/>
      </w:pPr>
      <w:r>
        <w:rPr>
          <w:rFonts w:ascii="Arial" w:cs="Arial" w:eastAsia="Arial" w:hAnsi="Arial"/>
        </w:rPr>
        <w:t xml:space="preserve">10. Non-Competition and Non-Solicitation</w:t>
      </w:r>
    </w:p>
    <w:p>
      <w:pPr>
        <w:spacing w:after="120"/>
      </w:pPr>
      <w:r>
        <w:rPr>
          <w:rFonts w:ascii="Arial" w:cs="Arial" w:eastAsia="Arial" w:hAnsi="Arial"/>
          <w:sz w:val="22"/>
          <w:szCs w:val="22"/>
        </w:rPr>
        <w:t xml:space="preserve">Non-Compete Period: The Employee agrees not to engage in competing activities for a period of 12 months following the termination of employment. During this period, the Employer shall compensate the Employee at 100% of salary up to 8G and 70% of salary above 8G, in accordance with the Working Environment Act Section 14A.</w:t>
      </w:r>
    </w:p>
    <w:p>
      <w:pPr>
        <w:spacing w:after="120"/>
      </w:pPr>
      <w:r>
        <w:rPr>
          <w:rFonts w:ascii="Arial" w:cs="Arial" w:eastAsia="Arial" w:hAnsi="Arial"/>
          <w:sz w:val="22"/>
          <w:szCs w:val="22"/>
        </w:rPr>
        <w:t xml:space="preserve">Non-Solicitation: For a period of 12 months following termination, the Employee shall not directly or indirectly solicit or attempt to recruit any employees of QDaria Holdings AS or its subsidiaries.</w:t>
      </w:r>
    </w:p>
    <w:p>
      <w:pPr>
        <w:pStyle w:val="Heading1"/>
      </w:pPr>
      <w:r>
        <w:rPr>
          <w:rFonts w:ascii="Arial" w:cs="Arial" w:eastAsia="Arial" w:hAnsi="Arial"/>
        </w:rPr>
        <w:t xml:space="preserve">11. Termination</w:t>
      </w:r>
    </w:p>
    <w:p>
      <w:pPr>
        <w:spacing w:after="120"/>
      </w:pPr>
      <w:r>
        <w:rPr>
          <w:rFonts w:ascii="Arial" w:cs="Arial" w:eastAsia="Arial" w:hAnsi="Arial"/>
          <w:sz w:val="22"/>
          <w:szCs w:val="22"/>
        </w:rPr>
        <w:t xml:space="preserve">Notice Period: 3 months. During the probation period (if applicable), the notice period is 14 calendar days.</w:t>
      </w:r>
    </w:p>
    <w:p>
      <w:pPr>
        <w:spacing w:after="120"/>
      </w:pPr>
      <w:r>
        <w:rPr>
          <w:rFonts w:ascii="Arial" w:cs="Arial" w:eastAsia="Arial" w:hAnsi="Arial"/>
          <w:sz w:val="22"/>
          <w:szCs w:val="22"/>
        </w:rPr>
        <w:t xml:space="preserve">Termination for cause may occur immediately and without notice in cases of gross misconduct, material breach of contract, or other circumstances as defined by the Working Environment Act.</w:t>
      </w:r>
    </w:p>
    <w:p>
      <w:pPr>
        <w:spacing w:after="120"/>
      </w:pPr>
      <w:r>
        <w:rPr>
          <w:rFonts w:ascii="Arial" w:cs="Arial" w:eastAsia="Arial" w:hAnsi="Arial"/>
          <w:sz w:val="22"/>
          <w:szCs w:val="22"/>
        </w:rPr>
        <w:t xml:space="preserve">Upon termination, the Employee shall return all company property, documents, and materials. All confidentiality and IP assignment obligations survive termination.</w:t>
      </w:r>
    </w:p>
    <w:p>
      <w:pPr>
        <w:pStyle w:val="Heading1"/>
      </w:pPr>
      <w:r>
        <w:rPr>
          <w:rFonts w:ascii="Arial" w:cs="Arial" w:eastAsia="Arial" w:hAnsi="Arial"/>
        </w:rPr>
        <w:t xml:space="preserve">12. Governing Law and Dispute Resolution</w:t>
      </w:r>
    </w:p>
    <w:p>
      <w:pPr>
        <w:spacing w:after="120"/>
      </w:pPr>
      <w:r>
        <w:rPr>
          <w:rFonts w:ascii="Arial" w:cs="Arial" w:eastAsia="Arial" w:hAnsi="Arial"/>
          <w:sz w:val="22"/>
          <w:szCs w:val="22"/>
        </w:rPr>
        <w:t xml:space="preserve">This Agreement shall be governed by and construed in accordance with the laws of Norway.</w:t>
      </w:r>
    </w:p>
    <w:p>
      <w:pPr>
        <w:spacing w:after="120"/>
      </w:pPr>
      <w:r>
        <w:rPr>
          <w:rFonts w:ascii="Arial" w:cs="Arial" w:eastAsia="Arial" w:hAnsi="Arial"/>
          <w:sz w:val="22"/>
          <w:szCs w:val="22"/>
        </w:rPr>
        <w:t xml:space="preserve">Any disputes arising from or in connection with this Agreement shall first be attempted to be resolved through good-faith negotiation. If negotiation fails, disputes shall be submitted to mediation, and if mediation is unsuccessful, to the competent courts in Oslo, Norway.</w:t>
      </w:r>
    </w:p>
    <w:p>
      <w:pPr>
        <w:pStyle w:val="Heading1"/>
      </w:pPr>
      <w:r>
        <w:rPr>
          <w:rFonts w:ascii="Arial" w:cs="Arial" w:eastAsia="Arial" w:hAnsi="Arial"/>
        </w:rPr>
        <w:t xml:space="preserve">13. Miscellaneous</w:t>
      </w:r>
    </w:p>
    <w:p>
      <w:pPr>
        <w:spacing w:after="120"/>
      </w:pPr>
      <w:r>
        <w:rPr>
          <w:rFonts w:ascii="Arial" w:cs="Arial" w:eastAsia="Arial" w:hAnsi="Arial"/>
          <w:sz w:val="22"/>
          <w:szCs w:val="22"/>
        </w:rPr>
        <w:t xml:space="preserve">This Agreement constitutes the entire agreement between the parties and supersedes all prior agreements, understandings, and negotiations.</w:t>
      </w:r>
    </w:p>
    <w:p>
      <w:pPr>
        <w:spacing w:after="120"/>
      </w:pPr>
      <w:r>
        <w:rPr>
          <w:rFonts w:ascii="Arial" w:cs="Arial" w:eastAsia="Arial" w:hAnsi="Arial"/>
          <w:sz w:val="22"/>
          <w:szCs w:val="22"/>
        </w:rPr>
        <w:t xml:space="preserve">Amendments to this Agreement must be in writing and signed by both parties.</w:t>
      </w:r>
    </w:p>
    <w:p>
      <w:pPr>
        <w:spacing w:after="120"/>
      </w:pPr>
      <w:r>
        <w:rPr>
          <w:rFonts w:ascii="Arial" w:cs="Arial" w:eastAsia="Arial" w:hAnsi="Arial"/>
          <w:sz w:val="22"/>
          <w:szCs w:val="22"/>
        </w:rPr>
        <w:t xml:space="preserve">If any provision of this Agreement is found to be invalid or unenforceable, the remaining provisions shall continue in full force and effect.</w:t>
      </w:r>
    </w:p>
    <w:p>
      <w:pPr>
        <w:spacing w:after="120"/>
      </w:pPr>
      <w:r>
        <w:rPr>
          <w:rFonts w:ascii="Arial" w:cs="Arial" w:eastAsia="Arial" w:hAnsi="Arial"/>
          <w:sz w:val="22"/>
          <w:szCs w:val="22"/>
        </w:rPr>
        <w:t xml:space="preserve">This contract is issued in accordance with the requirements of the Working Environment Act Section 14-6, as amended effective July 1, 2024, requiring written employment contracts within 7 days of commencement.</w:t>
      </w:r>
    </w:p>
    <w:p>
      <w:pPr>
        <w:spacing w:after="200"/>
      </w:pPr>
    </w:p>
    <w:p>
      <w:pPr>
        <w:spacing w:after="200"/>
      </w:pPr>
    </w:p>
    <w:p>
      <w:pPr>
        <w:pStyle w:val="Heading1"/>
      </w:pPr>
      <w:r>
        <w:rPr>
          <w:rFonts w:ascii="Arial" w:cs="Arial" w:eastAsia="Arial" w:hAnsi="Arial"/>
        </w:rPr>
        <w:t xml:space="preserve">14. Signatures</w:t>
      </w:r>
    </w:p>
    <w:p>
      <w:pPr>
        <w:spacing w:after="120"/>
      </w:pPr>
      <w:r>
        <w:rPr>
          <w:rFonts w:ascii="Arial" w:cs="Arial" w:eastAsia="Arial" w:hAnsi="Arial"/>
          <w:sz w:val="22"/>
          <w:szCs w:val="22"/>
        </w:rPr>
        <w:t xml:space="preserve">By signing below, both parties confirm they have read, understood, and agree to all terms and conditions of this Employment Contract.</w:t>
      </w:r>
    </w:p>
    <w:p>
      <w:pPr>
        <w:spacing w:after="200"/>
      </w:pP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EMPLOYER:</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Daniel Mo Houshmand</w:t>
            </w:r>
          </w:p>
          <w:p>
            <w:r>
              <w:rPr>
                <w:rFonts w:ascii="Arial" w:cs="Arial" w:eastAsia="Arial" w:hAnsi="Arial"/>
                <w:color w:val="555555"/>
                <w:sz w:val="18"/>
                <w:szCs w:val="18"/>
              </w:rPr>
              <w:t xml:space="preserve">CEO &amp; Founder, QDaria Holdings AS</w:t>
            </w:r>
          </w:p>
          <w:p>
            <w:r>
              <w:rPr>
                <w:rFonts w:ascii="Arial" w:cs="Arial" w:eastAsia="Arial" w:hAnsi="Arial"/>
                <w:color w:val="555555"/>
                <w:sz w:val="18"/>
                <w:szCs w:val="18"/>
              </w:rPr>
              <w:t xml:space="preserve">Date: February 5, 2026</w:t>
            </w:r>
          </w:p>
        </w:tc>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EMPLOYEE:</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Svein-Erik Nilsen</w:t>
            </w:r>
          </w:p>
          <w:p>
            <w:r>
              <w:rPr>
                <w:rFonts w:ascii="Arial" w:cs="Arial" w:eastAsia="Arial" w:hAnsi="Arial"/>
                <w:color w:val="555555"/>
                <w:sz w:val="18"/>
                <w:szCs w:val="18"/>
              </w:rPr>
              <w:t xml:space="preserve">Chief Operating Officer (COO)</w:t>
            </w:r>
          </w:p>
          <w:p>
            <w:r>
              <w:rPr>
                <w:rFonts w:ascii="Arial" w:cs="Arial" w:eastAsia="Arial" w:hAnsi="Arial"/>
                <w:color w:val="555555"/>
                <w:sz w:val="18"/>
                <w:szCs w:val="18"/>
              </w:rPr>
              <w:t xml:space="preserve">Date: _______________</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QDaria Holdings AS  |  Oslo, Norway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6B6D4"/>
        <w:sz w:val="16"/>
        <w:szCs w:val="16"/>
      </w:rPr>
      <w:t xml:space="preserve">QDaria Holdings AS</w:t>
    </w:r>
    <w:r>
      <w:rPr>
        <w:rFonts w:ascii="Arial" w:cs="Arial" w:eastAsia="Arial" w:hAnsi="Arial"/>
        <w:color w:val="999999"/>
        <w:sz w:val="16"/>
        <w:szCs w:val="16"/>
      </w:rPr>
      <w:t xml:space="preserve">  |  Employment Contract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1628"/>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6B6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2026-02-05T12:45:20.393Z</dcterms:created>
  <dcterms:modified xsi:type="dcterms:W3CDTF">2026-02-05T12:45:20.393Z</dcterms:modified>
</cp:coreProperties>
</file>

<file path=docProps/custom.xml><?xml version="1.0" encoding="utf-8"?>
<Properties xmlns="http://schemas.openxmlformats.org/officeDocument/2006/custom-properties" xmlns:vt="http://schemas.openxmlformats.org/officeDocument/2006/docPropsVTypes"/>
</file>