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Yulia Ginzburg</w:t>
      </w:r>
    </w:p>
    <w:p>
      <w:pPr>
        <w:spacing w:after="400"/>
        <w:jc w:val="center"/>
      </w:pPr>
      <w:r>
        <w:rPr>
          <w:rFonts w:ascii="Arial" w:cs="Arial" w:eastAsia="Arial" w:hAnsi="Arial"/>
          <w:color w:val="555555"/>
          <w:sz w:val="24"/>
          <w:szCs w:val="24"/>
        </w:rPr>
        <w:t xml:space="preserve">Chief Data Officer (CDO)</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Yulia Ginzburg</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Chief Data Officer (CDO)</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Leadership</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Chief Data Officer (CDO)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Full-time (100%)</w:t>
      </w:r>
    </w:p>
    <w:p>
      <w:pPr>
        <w:spacing w:after="120"/>
      </w:pPr>
      <w:r>
        <w:rPr>
          <w:rFonts w:ascii="Arial" w:cs="Arial" w:eastAsia="Arial" w:hAnsi="Arial"/>
          <w:sz w:val="22"/>
          <w:szCs w:val="22"/>
        </w:rPr>
        <w:t xml:space="preserve">The Employee reports directly to: CEO / COO</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Master's in Mathematics for Economics. Experience at Ilyon and Wildlife Studios. Predictive modeling and A/B testing specialist. 8+ years.</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The Employee is expected to work full-time hours.</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900,000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75,000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20% of the annual base salary (NOK 180,000),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Data infrastructure operational (pipelines, KPI dashboards): 7% bonus</w:t>
      </w:r>
    </w:p>
    <w:p>
      <w:pPr>
        <w:pStyle w:val="ListParagraph"/>
        <w:numPr>
          <w:ilvl w:val="0"/>
          <w:numId w:val="2"/>
        </w:numPr>
      </w:pPr>
      <w:r>
        <w:rPr>
          <w:rFonts w:ascii="Arial" w:cs="Arial" w:eastAsia="Arial" w:hAnsi="Arial"/>
          <w:sz w:val="22"/>
          <w:szCs w:val="22"/>
        </w:rPr>
        <w:t xml:space="preserve">Predictive modeling accuracy benchmarks: 5% bonus</w:t>
      </w:r>
    </w:p>
    <w:p>
      <w:pPr>
        <w:pStyle w:val="ListParagraph"/>
        <w:numPr>
          <w:ilvl w:val="0"/>
          <w:numId w:val="2"/>
        </w:numPr>
      </w:pPr>
      <w:r>
        <w:rPr>
          <w:rFonts w:ascii="Arial" w:cs="Arial" w:eastAsia="Arial" w:hAnsi="Arial"/>
          <w:sz w:val="22"/>
          <w:szCs w:val="22"/>
        </w:rPr>
        <w:t xml:space="preserve">A/B testing framework deployed across products: 5% bonus</w:t>
      </w:r>
    </w:p>
    <w:p>
      <w:pPr>
        <w:pStyle w:val="ListParagraph"/>
        <w:numPr>
          <w:ilvl w:val="0"/>
          <w:numId w:val="2"/>
        </w:numPr>
      </w:pPr>
      <w:r>
        <w:rPr>
          <w:rFonts w:ascii="Arial" w:cs="Arial" w:eastAsia="Arial" w:hAnsi="Arial"/>
          <w:sz w:val="22"/>
          <w:szCs w:val="22"/>
        </w:rPr>
        <w:t xml:space="preserve">Data governance compliance: 3%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Data infrastructure tooling budget: NOK 100,000/year.</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Qm9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 in Qm9 AS + 2.0%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The Employee agrees not to engage in competing activities for a period of 6 months following the termination of employment. During this period, the Employer shall compensate the Employee at 100% of salary up to 8G and 70% of salary above 8G, in accordance with the Working Environment Act Section 14A.</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3 months.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Yulia Ginzburg</w:t>
            </w:r>
          </w:p>
          <w:p>
            <w:r>
              <w:rPr>
                <w:rFonts w:ascii="Arial" w:cs="Arial" w:eastAsia="Arial" w:hAnsi="Arial"/>
                <w:color w:val="555555"/>
                <w:sz w:val="18"/>
                <w:szCs w:val="18"/>
              </w:rPr>
              <w:t xml:space="preserve">Chief Data Officer (CDO)</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2026-02-05T12:45:20.553Z</dcterms:created>
  <dcterms:modified xsi:type="dcterms:W3CDTF">2026-02-05T12:45:20.553Z</dcterms:modified>
</cp:coreProperties>
</file>

<file path=docProps/custom.xml><?xml version="1.0" encoding="utf-8"?>
<Properties xmlns="http://schemas.openxmlformats.org/officeDocument/2006/custom-properties" xmlns:vt="http://schemas.openxmlformats.org/officeDocument/2006/docPropsVTypes"/>
</file>