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6B0BF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line="1600" w:lineRule="exact"/>
        <w:textAlignment w:val="auto"/>
        <w:rPr>
          <w:rFonts w:hint="eastAsia" w:ascii="微软雅黑" w:hAnsi="微软雅黑" w:eastAsia="微软雅黑" w:cs="微软雅黑"/>
          <w:b/>
          <w:color w:val="000000" w:themeColor="text1"/>
          <w:kern w:val="2"/>
          <w:sz w:val="112"/>
          <w:szCs w:val="11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kern w:val="2"/>
          <w:sz w:val="112"/>
          <w:szCs w:val="112"/>
          <w:lang w:val="en-US" w:eastAsia="zh-CN" w:bidi="ar-SA"/>
          <w14:textFill>
            <w14:solidFill>
              <w14:schemeClr w14:val="tx1"/>
            </w14:solidFill>
          </w14:textFill>
        </w:rPr>
        <w:t>薪酬分析报告</w:t>
      </w:r>
    </w:p>
    <w:p w14:paraId="293EF8D4">
      <w:pPr>
        <w:pStyle w:val="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报告概述</w:t>
      </w:r>
    </w:p>
    <w:p w14:paraId="07D2C6CE">
      <w:pPr>
        <w:pStyle w:val="3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公司背景与报告目的</w:t>
      </w:r>
    </w:p>
    <w:p w14:paraId="2E99E187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司目前拥有员工131人，涵盖销售、技术、市场、财务、人力资源五大核心部门。随着业务规模扩大与市场竞争加剧，现有薪酬体系在人才吸引、保留及激励效能方面逐渐显现不足。本报告旨在通过系统性数据分析，全面评估薪酬结构的合理性、市场竞争力及人效水平，并提出针对性优化策略，支撑公司战略目标的实现。</w:t>
      </w:r>
    </w:p>
    <w:p w14:paraId="39B35CD1">
      <w:pPr>
        <w:pStyle w:val="3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分析方法与数据来源</w:t>
      </w:r>
    </w:p>
    <w:p w14:paraId="13E2C3BB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内部数据</w:t>
      </w:r>
      <w:r>
        <w:rPr>
          <w:rFonts w:hint="eastAsia" w:ascii="微软雅黑" w:hAnsi="微软雅黑" w:eastAsia="微软雅黑" w:cs="微软雅黑"/>
        </w:rPr>
        <w:t>：2025年1-6月薪酬发放记录、职级晋升档案、部门产值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报表。</w:t>
      </w:r>
    </w:p>
    <w:p w14:paraId="5EA2CB63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外部对标</w:t>
      </w:r>
      <w:r>
        <w:rPr>
          <w:rFonts w:hint="eastAsia" w:ascii="微软雅黑" w:hAnsi="微软雅黑" w:eastAsia="微软雅黑" w:cs="微软雅黑"/>
        </w:rPr>
        <w:t>：参考行业薪酬调研报告（覆盖同规模企业50家）、招聘平台岗位薪酬数据。</w:t>
      </w:r>
    </w:p>
    <w:p w14:paraId="4500E87E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方法论</w:t>
      </w:r>
      <w:r>
        <w:rPr>
          <w:rFonts w:hint="eastAsia" w:ascii="微软雅黑" w:hAnsi="微软雅黑" w:eastAsia="微软雅黑" w:cs="微软雅黑"/>
        </w:rPr>
        <w:t>：采用分位值分析、投入产出比（ROI）计算、员工满意度抽样调查（样本量80人，覆盖率61%）。</w:t>
      </w:r>
    </w:p>
    <w:p w14:paraId="2EF6BFD3">
      <w:pPr>
        <w:pStyle w:val="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薪酬总体情况</w:t>
      </w:r>
    </w:p>
    <w:p w14:paraId="5B6D0B75">
      <w:pPr>
        <w:pStyle w:val="3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薪酬分布与结构特征</w:t>
      </w:r>
    </w:p>
    <w:p w14:paraId="05F2A80F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2"/>
        </w:rPr>
        <w:t>2.1.1 整体薪酬分布</w:t>
      </w:r>
    </w:p>
    <w:p w14:paraId="20329803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公司月薪酬总额1,836,200元，人均月薪14,020元，具体区间分布如下：</w:t>
      </w:r>
    </w:p>
    <w:tbl>
      <w:tblPr>
        <w:tblStyle w:val="16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8"/>
        <w:gridCol w:w="735"/>
        <w:gridCol w:w="1011"/>
        <w:gridCol w:w="1354"/>
        <w:gridCol w:w="4756"/>
      </w:tblGrid>
      <w:tr w14:paraId="0EF2E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  <w:jc w:val="center"/>
        </w:trPr>
        <w:tc>
          <w:tcPr>
            <w:tcW w:w="1150" w:type="pct"/>
            <w:tcBorders>
              <w:top w:val="nil"/>
              <w:left w:val="nil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8F8D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lang w:val="en-US" w:eastAsia="zh-CN"/>
              </w:rPr>
              <w:t>薪酬区间</w:t>
            </w:r>
          </w:p>
        </w:tc>
        <w:tc>
          <w:tcPr>
            <w:tcW w:w="360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59A10F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lang w:val="en-US" w:eastAsia="zh-CN"/>
              </w:rPr>
              <w:t>人数</w:t>
            </w:r>
          </w:p>
        </w:tc>
        <w:tc>
          <w:tcPr>
            <w:tcW w:w="495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F5D8DB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lang w:val="en-US" w:eastAsia="zh-CN"/>
              </w:rPr>
              <w:t>占比</w:t>
            </w:r>
          </w:p>
        </w:tc>
        <w:tc>
          <w:tcPr>
            <w:tcW w:w="663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516BA7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lang w:val="en-US" w:eastAsia="zh-CN"/>
              </w:rPr>
              <w:t>累计占比</w:t>
            </w:r>
          </w:p>
        </w:tc>
        <w:tc>
          <w:tcPr>
            <w:tcW w:w="2329" w:type="pct"/>
            <w:tcBorders>
              <w:top w:val="nil"/>
              <w:left w:val="single" w:color="FFFFFF" w:sz="8" w:space="0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413193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lang w:val="en-US" w:eastAsia="zh-CN"/>
              </w:rPr>
              <w:t>薪酬密集度分析</w:t>
            </w:r>
          </w:p>
        </w:tc>
      </w:tr>
      <w:tr w14:paraId="1C6F0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  <w:jc w:val="center"/>
        </w:trPr>
        <w:tc>
          <w:tcPr>
            <w:tcW w:w="1150" w:type="pct"/>
            <w:tcBorders>
              <w:top w:val="nil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D253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5000元以下</w:t>
            </w:r>
          </w:p>
        </w:tc>
        <w:tc>
          <w:tcPr>
            <w:tcW w:w="360" w:type="pct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5DFB3F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8</w:t>
            </w:r>
          </w:p>
        </w:tc>
        <w:tc>
          <w:tcPr>
            <w:tcW w:w="495" w:type="pct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68CC8B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6.1%</w:t>
            </w:r>
          </w:p>
        </w:tc>
        <w:tc>
          <w:tcPr>
            <w:tcW w:w="663" w:type="pct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9EA069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6.1%</w:t>
            </w:r>
          </w:p>
        </w:tc>
        <w:tc>
          <w:tcPr>
            <w:tcW w:w="2329" w:type="pct"/>
            <w:tcBorders>
              <w:top w:val="nil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5B8DB6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主要为实习生与初级行政岗位</w:t>
            </w:r>
          </w:p>
        </w:tc>
      </w:tr>
      <w:tr w14:paraId="7F73F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  <w:jc w:val="center"/>
        </w:trPr>
        <w:tc>
          <w:tcPr>
            <w:tcW w:w="1150" w:type="pct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0F54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5000-8000元</w:t>
            </w:r>
          </w:p>
        </w:tc>
        <w:tc>
          <w:tcPr>
            <w:tcW w:w="36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3E41F8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22</w:t>
            </w:r>
          </w:p>
        </w:tc>
        <w:tc>
          <w:tcPr>
            <w:tcW w:w="49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FA7465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16.8%</w:t>
            </w:r>
          </w:p>
        </w:tc>
        <w:tc>
          <w:tcPr>
            <w:tcW w:w="6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501BB9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22.9%</w:t>
            </w:r>
          </w:p>
        </w:tc>
        <w:tc>
          <w:tcPr>
            <w:tcW w:w="232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31FEB1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基层技术员、客服专员</w:t>
            </w:r>
          </w:p>
        </w:tc>
      </w:tr>
      <w:tr w14:paraId="20DE8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  <w:jc w:val="center"/>
        </w:trPr>
        <w:tc>
          <w:tcPr>
            <w:tcW w:w="1150" w:type="pct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F0E2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8001-12000元</w:t>
            </w:r>
          </w:p>
        </w:tc>
        <w:tc>
          <w:tcPr>
            <w:tcW w:w="36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C1EF05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40</w:t>
            </w:r>
          </w:p>
        </w:tc>
        <w:tc>
          <w:tcPr>
            <w:tcW w:w="49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0B894B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30.5%</w:t>
            </w:r>
          </w:p>
        </w:tc>
        <w:tc>
          <w:tcPr>
            <w:tcW w:w="66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739D53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53.4%</w:t>
            </w:r>
          </w:p>
        </w:tc>
        <w:tc>
          <w:tcPr>
            <w:tcW w:w="232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1CC46E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中级工程师、市场专员、会计</w:t>
            </w:r>
          </w:p>
        </w:tc>
      </w:tr>
      <w:tr w14:paraId="74020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  <w:jc w:val="center"/>
        </w:trPr>
        <w:tc>
          <w:tcPr>
            <w:tcW w:w="1150" w:type="pct"/>
            <w:tcBorders>
              <w:top w:val="single" w:color="FFFFFF" w:sz="8" w:space="0"/>
              <w:left w:val="nil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B4A6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12001-18000元</w:t>
            </w:r>
          </w:p>
        </w:tc>
        <w:tc>
          <w:tcPr>
            <w:tcW w:w="360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9A2752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45</w:t>
            </w:r>
          </w:p>
        </w:tc>
        <w:tc>
          <w:tcPr>
            <w:tcW w:w="495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2F8ADC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34.4%</w:t>
            </w:r>
          </w:p>
        </w:tc>
        <w:tc>
          <w:tcPr>
            <w:tcW w:w="663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9CEBA8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87.8%</w:t>
            </w:r>
          </w:p>
        </w:tc>
        <w:tc>
          <w:tcPr>
            <w:tcW w:w="2329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nil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D7492D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高级工程师、销售经理、HRBP</w:t>
            </w:r>
          </w:p>
        </w:tc>
      </w:tr>
      <w:tr w14:paraId="7DDC6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  <w:jc w:val="center"/>
        </w:trPr>
        <w:tc>
          <w:tcPr>
            <w:tcW w:w="1150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91C8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lang w:val="en-US" w:eastAsia="zh-CN"/>
              </w:rPr>
              <w:t>18000元以上</w:t>
            </w:r>
          </w:p>
        </w:tc>
        <w:tc>
          <w:tcPr>
            <w:tcW w:w="360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023110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lang w:val="en-US" w:eastAsia="zh-CN"/>
              </w:rPr>
              <w:t>16</w:t>
            </w:r>
          </w:p>
        </w:tc>
        <w:tc>
          <w:tcPr>
            <w:tcW w:w="495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828F03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lang w:val="en-US" w:eastAsia="zh-CN"/>
              </w:rPr>
              <w:t>12.2%</w:t>
            </w:r>
          </w:p>
        </w:tc>
        <w:tc>
          <w:tcPr>
            <w:tcW w:w="663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97D02A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lang w:val="en-US" w:eastAsia="zh-CN"/>
              </w:rPr>
              <w:t>100%</w:t>
            </w:r>
          </w:p>
        </w:tc>
        <w:tc>
          <w:tcPr>
            <w:tcW w:w="2329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DC087F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lang w:val="en-US" w:eastAsia="zh-CN"/>
              </w:rPr>
              <w:t>技术专家、部门总监、核心销售岗</w:t>
            </w:r>
          </w:p>
        </w:tc>
      </w:tr>
    </w:tbl>
    <w:p w14:paraId="3DE56F35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33020</wp:posOffset>
            </wp:positionV>
            <wp:extent cx="6480175" cy="1548130"/>
            <wp:effectExtent l="4445" t="4445" r="11430" b="28575"/>
            <wp:wrapNone/>
            <wp:docPr id="2" name="图表 2" descr="7b0a202020202263686172745265734964223a20223230343736353132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14:paraId="090709B0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</w:p>
    <w:p w14:paraId="43B6B5C7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</w:p>
    <w:p w14:paraId="3BCA6467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</w:p>
    <w:p w14:paraId="3ECF2E2C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</w:p>
    <w:p w14:paraId="14ABE598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分布特点：</w:t>
      </w:r>
    </w:p>
    <w:p w14:paraId="7E46D260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金字塔型结构</w:t>
      </w:r>
      <w:r>
        <w:rPr>
          <w:rFonts w:hint="eastAsia" w:ascii="微软雅黑" w:hAnsi="微软雅黑" w:eastAsia="微软雅黑" w:cs="微软雅黑"/>
          <w:b w:val="0"/>
          <w:bCs w:val="0"/>
        </w:rPr>
        <w:t>：中高收入群体（12001元以上）占比46.6%，但高薪区间（18000元以上）人员集中在技术专家与销售总监岗位，管理岗位薪酬梯度不足。</w:t>
      </w:r>
    </w:p>
    <w:p w14:paraId="69A6449B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基层岗位薪酬离散度低</w:t>
      </w:r>
      <w:r>
        <w:rPr>
          <w:rFonts w:hint="eastAsia" w:ascii="微软雅黑" w:hAnsi="微软雅黑" w:eastAsia="微软雅黑" w:cs="微软雅黑"/>
          <w:b w:val="0"/>
          <w:bCs w:val="0"/>
        </w:rPr>
        <w:t>：5000-8000元区间内薪酬差异仅5%，缺乏绩效差异化激励。</w:t>
      </w:r>
    </w:p>
    <w:p w14:paraId="234777C7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2"/>
        </w:rPr>
        <w:t>2.1.2 薪酬增长趋势（2023-2025）</w:t>
      </w:r>
    </w:p>
    <w:p w14:paraId="18CA41A6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年均薪酬增幅</w:t>
      </w:r>
      <w:r>
        <w:rPr>
          <w:rFonts w:hint="eastAsia" w:ascii="微软雅黑" w:hAnsi="微软雅黑" w:eastAsia="微软雅黑" w:cs="微软雅黑"/>
          <w:b w:val="0"/>
          <w:bCs w:val="0"/>
        </w:rPr>
        <w:t>：2023年（8%）、2024年（6%）、2025年（5%），增速放缓。</w:t>
      </w:r>
    </w:p>
    <w:p w14:paraId="7B7C0879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职级差异</w:t>
      </w:r>
      <w:r>
        <w:rPr>
          <w:rFonts w:hint="eastAsia" w:ascii="微软雅黑" w:hAnsi="微软雅黑" w:eastAsia="微软雅黑" w:cs="微软雅黑"/>
          <w:b w:val="0"/>
          <w:bCs w:val="0"/>
        </w:rPr>
        <w:t>：高层岗位年均增幅4%，低于基层岗位的7%，导致薪酬竞争力逐年下降。</w:t>
      </w:r>
    </w:p>
    <w:p w14:paraId="2C7D79D8">
      <w:pPr>
        <w:pStyle w:val="3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薪酬水平外部对标</w:t>
      </w:r>
    </w:p>
    <w:p w14:paraId="4C93CB5D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2"/>
        </w:rPr>
        <w:t>2.2.1 分岗位市场竞争力分析</w:t>
      </w:r>
    </w:p>
    <w:tbl>
      <w:tblPr>
        <w:tblStyle w:val="16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2"/>
        <w:gridCol w:w="1664"/>
        <w:gridCol w:w="1597"/>
        <w:gridCol w:w="1597"/>
        <w:gridCol w:w="4294"/>
      </w:tblGrid>
      <w:tr w14:paraId="1BF66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515" w:type="pct"/>
            <w:tcBorders>
              <w:top w:val="nil"/>
              <w:left w:val="nil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F70C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岗位层级</w:t>
            </w:r>
          </w:p>
        </w:tc>
        <w:tc>
          <w:tcPr>
            <w:tcW w:w="815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5EAB21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公司月薪均值</w:t>
            </w:r>
          </w:p>
        </w:tc>
        <w:tc>
          <w:tcPr>
            <w:tcW w:w="782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10E047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市场50分位</w:t>
            </w:r>
          </w:p>
        </w:tc>
        <w:tc>
          <w:tcPr>
            <w:tcW w:w="782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8F5AAF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市场75分位</w:t>
            </w:r>
          </w:p>
        </w:tc>
        <w:tc>
          <w:tcPr>
            <w:tcW w:w="2103" w:type="pct"/>
            <w:tcBorders>
              <w:top w:val="nil"/>
              <w:left w:val="single" w:color="FFFFFF" w:sz="8" w:space="0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37C156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差距分析</w:t>
            </w:r>
          </w:p>
        </w:tc>
      </w:tr>
      <w:tr w14:paraId="7D961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515" w:type="pct"/>
            <w:tcBorders>
              <w:top w:val="nil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05C7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基层岗位</w:t>
            </w:r>
          </w:p>
        </w:tc>
        <w:tc>
          <w:tcPr>
            <w:tcW w:w="815" w:type="pct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49CA4B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9,500元</w:t>
            </w:r>
          </w:p>
        </w:tc>
        <w:tc>
          <w:tcPr>
            <w:tcW w:w="782" w:type="pct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20597F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9,600元</w:t>
            </w:r>
          </w:p>
        </w:tc>
        <w:tc>
          <w:tcPr>
            <w:tcW w:w="782" w:type="pct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077FC6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11,200元</w:t>
            </w:r>
          </w:p>
        </w:tc>
        <w:tc>
          <w:tcPr>
            <w:tcW w:w="2103" w:type="pct"/>
            <w:tcBorders>
              <w:top w:val="nil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87D2D6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持平50分位，低于75分位15%</w:t>
            </w:r>
          </w:p>
        </w:tc>
      </w:tr>
      <w:tr w14:paraId="0B38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515" w:type="pct"/>
            <w:tcBorders>
              <w:top w:val="single" w:color="FFFFFF" w:sz="8" w:space="0"/>
              <w:left w:val="nil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7DA4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中层岗位</w:t>
            </w:r>
          </w:p>
        </w:tc>
        <w:tc>
          <w:tcPr>
            <w:tcW w:w="815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5D0040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15,000元</w:t>
            </w:r>
          </w:p>
        </w:tc>
        <w:tc>
          <w:tcPr>
            <w:tcW w:w="782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80AA26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16,500元</w:t>
            </w:r>
          </w:p>
        </w:tc>
        <w:tc>
          <w:tcPr>
            <w:tcW w:w="782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0464DE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19,000元</w:t>
            </w:r>
          </w:p>
        </w:tc>
        <w:tc>
          <w:tcPr>
            <w:tcW w:w="2103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nil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8B8930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低于75分位21%，竞争力不足</w:t>
            </w:r>
          </w:p>
        </w:tc>
      </w:tr>
      <w:tr w14:paraId="1FC22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515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83D4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高层岗位</w:t>
            </w:r>
          </w:p>
        </w:tc>
        <w:tc>
          <w:tcPr>
            <w:tcW w:w="815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046EE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28,000元</w:t>
            </w:r>
          </w:p>
        </w:tc>
        <w:tc>
          <w:tcPr>
            <w:tcW w:w="782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5B3477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32,000元</w:t>
            </w:r>
          </w:p>
        </w:tc>
        <w:tc>
          <w:tcPr>
            <w:tcW w:w="782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3487CF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38,000元</w:t>
            </w:r>
          </w:p>
        </w:tc>
        <w:tc>
          <w:tcPr>
            <w:tcW w:w="2103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204008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显著低于75分位26%，流失风险高</w:t>
            </w:r>
          </w:p>
        </w:tc>
      </w:tr>
    </w:tbl>
    <w:p w14:paraId="68599EE0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2"/>
        </w:rPr>
        <w:t>2.2.2 行业专项对标</w:t>
      </w:r>
    </w:p>
    <w:p w14:paraId="4529C2CD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技术岗位</w:t>
      </w:r>
      <w:r>
        <w:rPr>
          <w:rFonts w:hint="eastAsia" w:ascii="微软雅黑" w:hAnsi="微软雅黑" w:eastAsia="微软雅黑" w:cs="微软雅黑"/>
          <w:b w:val="0"/>
          <w:bCs w:val="0"/>
        </w:rPr>
        <w:t>：公司高级工程师月薪22,000元，行业75分位为26,000元，差距18%。</w:t>
      </w:r>
    </w:p>
    <w:p w14:paraId="17B45E49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销售岗位</w:t>
      </w:r>
      <w:r>
        <w:rPr>
          <w:rFonts w:hint="eastAsia" w:ascii="微软雅黑" w:hAnsi="微软雅黑" w:eastAsia="微软雅黑" w:cs="微软雅黑"/>
          <w:b w:val="0"/>
          <w:bCs w:val="0"/>
        </w:rPr>
        <w:t>：Top Sales年薪45万元，行业标杆企业同类岗位可达60万元，激励空间不足。</w:t>
      </w:r>
    </w:p>
    <w:p w14:paraId="386978C7">
      <w:pPr>
        <w:pStyle w:val="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薪酬结构深度解析</w:t>
      </w:r>
    </w:p>
    <w:p w14:paraId="54F96AD0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3.1 薪酬构成与激励机制</w:t>
      </w:r>
    </w:p>
    <w:p w14:paraId="1588503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2"/>
        </w:rPr>
        <w:t>3.1.1 整体薪酬构成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4"/>
        <w:gridCol w:w="624"/>
        <w:gridCol w:w="2659"/>
        <w:gridCol w:w="2139"/>
      </w:tblGrid>
      <w:tr w14:paraId="66FD9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964" w:type="dxa"/>
            <w:tcBorders>
              <w:top w:val="nil"/>
              <w:left w:val="nil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EF33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薪酬构成</w:t>
            </w:r>
          </w:p>
        </w:tc>
        <w:tc>
          <w:tcPr>
            <w:tcW w:w="624" w:type="dxa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879D8F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占比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7DE994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发放规则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3535DB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1344930</wp:posOffset>
                  </wp:positionH>
                  <wp:positionV relativeFrom="paragraph">
                    <wp:posOffset>6350</wp:posOffset>
                  </wp:positionV>
                  <wp:extent cx="2484120" cy="1835785"/>
                  <wp:effectExtent l="4445" t="4445" r="6985" b="36195"/>
                  <wp:wrapNone/>
                  <wp:docPr id="3" name="图表 3" descr="7b0a202020202263686172745265734964223a20223230343736353132220a7d0a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激励效果评估</w:t>
            </w:r>
          </w:p>
        </w:tc>
      </w:tr>
      <w:tr w14:paraId="3CC6C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964" w:type="dxa"/>
            <w:tcBorders>
              <w:top w:val="nil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1341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基本工资</w:t>
            </w:r>
          </w:p>
        </w:tc>
        <w:tc>
          <w:tcPr>
            <w:tcW w:w="624" w:type="dxa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647FA2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50%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702181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  <w:lang w:val="en-US" w:eastAsia="zh-CN"/>
              </w:rPr>
              <w:t>月度固定，年度普调3%-5%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EB8B15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  <w:lang w:val="en-US" w:eastAsia="zh-CN"/>
              </w:rPr>
              <w:t>保障性强，但缺乏弹性</w:t>
            </w:r>
          </w:p>
        </w:tc>
      </w:tr>
      <w:tr w14:paraId="2B3D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964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FA71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绩效工资</w:t>
            </w:r>
          </w:p>
        </w:tc>
        <w:tc>
          <w:tcPr>
            <w:tcW w:w="62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7AE50B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30%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5753A1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  <w:lang w:val="en-US" w:eastAsia="zh-CN"/>
              </w:rPr>
              <w:t>季度考核，个人KPI挂钩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68BA20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  <w:lang w:val="en-US" w:eastAsia="zh-CN"/>
              </w:rPr>
              <w:t>销售/技术部门激励显著</w:t>
            </w:r>
          </w:p>
          <w:p w14:paraId="59033B3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  <w:lang w:val="en-US" w:eastAsia="zh-CN"/>
              </w:rPr>
              <w:t>职能部门流于形式</w:t>
            </w:r>
          </w:p>
        </w:tc>
      </w:tr>
      <w:tr w14:paraId="5518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964" w:type="dxa"/>
            <w:tcBorders>
              <w:top w:val="single" w:color="FFFFFF" w:sz="8" w:space="0"/>
              <w:left w:val="nil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8DF4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奖金</w:t>
            </w:r>
          </w:p>
        </w:tc>
        <w:tc>
          <w:tcPr>
            <w:tcW w:w="624" w:type="dxa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F72C8A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15%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28D5A5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  <w:lang w:val="en-US" w:eastAsia="zh-CN"/>
              </w:rPr>
              <w:t>年度利润分享，部门整体达标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5A7A9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  <w:lang w:val="en-US" w:eastAsia="zh-CN"/>
              </w:rPr>
              <w:t>分配透明度低</w:t>
            </w:r>
          </w:p>
        </w:tc>
      </w:tr>
      <w:tr w14:paraId="7CFB9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964" w:type="dxa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79BE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福利补贴</w:t>
            </w:r>
          </w:p>
        </w:tc>
        <w:tc>
          <w:tcPr>
            <w:tcW w:w="624" w:type="dxa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411BFB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5%</w:t>
            </w:r>
          </w:p>
        </w:tc>
        <w:tc>
          <w:tcPr>
            <w:tcW w:w="0" w:type="auto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9FE04F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pacing w:val="-6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pacing w:val="-6"/>
                <w:sz w:val="21"/>
                <w:lang w:val="en-US" w:eastAsia="zh-CN"/>
              </w:rPr>
              <w:t>月度固定（餐补、交通补）</w:t>
            </w:r>
          </w:p>
        </w:tc>
        <w:tc>
          <w:tcPr>
            <w:tcW w:w="0" w:type="auto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3F57EE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pacing w:val="-6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pacing w:val="-6"/>
                <w:sz w:val="21"/>
                <w:lang w:val="en-US" w:eastAsia="zh-CN"/>
              </w:rPr>
              <w:t>缺乏差异化</w:t>
            </w:r>
          </w:p>
        </w:tc>
      </w:tr>
    </w:tbl>
    <w:p w14:paraId="4ACDD9DD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问题聚焦：</w:t>
      </w:r>
    </w:p>
    <w:p w14:paraId="7965D416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固定薪酬占比过高</w:t>
      </w:r>
      <w:r>
        <w:rPr>
          <w:rFonts w:hint="eastAsia" w:ascii="微软雅黑" w:hAnsi="微软雅黑" w:eastAsia="微软雅黑" w:cs="微软雅黑"/>
          <w:b w:val="0"/>
          <w:bCs w:val="0"/>
        </w:rPr>
        <w:t>：基本工资+福利达55%，削弱绩效导向。</w:t>
      </w:r>
    </w:p>
    <w:p w14:paraId="14C4F0F2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奖金分配机制模糊</w:t>
      </w:r>
      <w:r>
        <w:rPr>
          <w:rFonts w:hint="eastAsia" w:ascii="微软雅黑" w:hAnsi="微软雅黑" w:eastAsia="微软雅黑" w:cs="微软雅黑"/>
          <w:b w:val="0"/>
          <w:bCs w:val="0"/>
        </w:rPr>
        <w:t>：30%员工反馈“不清楚奖金计算标准”。</w:t>
      </w:r>
    </w:p>
    <w:p w14:paraId="14D6432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2"/>
        </w:rPr>
        <w:t>3.1.2 职级薪酬结构差异</w:t>
      </w:r>
    </w:p>
    <w:tbl>
      <w:tblPr>
        <w:tblStyle w:val="16"/>
        <w:tblW w:w="495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9"/>
        <w:gridCol w:w="1503"/>
        <w:gridCol w:w="1503"/>
        <w:gridCol w:w="1034"/>
        <w:gridCol w:w="5393"/>
      </w:tblGrid>
      <w:tr w14:paraId="37AE1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336" w:type="pct"/>
            <w:tcBorders>
              <w:top w:val="nil"/>
              <w:left w:val="nil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F1E1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职级</w:t>
            </w:r>
          </w:p>
        </w:tc>
        <w:tc>
          <w:tcPr>
            <w:tcW w:w="743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462713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基本工资占比</w:t>
            </w:r>
          </w:p>
        </w:tc>
        <w:tc>
          <w:tcPr>
            <w:tcW w:w="743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E5267D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绩效工资占比</w:t>
            </w:r>
          </w:p>
        </w:tc>
        <w:tc>
          <w:tcPr>
            <w:tcW w:w="511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CED567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奖金占比</w:t>
            </w:r>
          </w:p>
        </w:tc>
        <w:tc>
          <w:tcPr>
            <w:tcW w:w="2666" w:type="pct"/>
            <w:tcBorders>
              <w:top w:val="nil"/>
              <w:left w:val="single" w:color="FFFFFF" w:sz="8" w:space="0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61339B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案例说明</w:t>
            </w:r>
          </w:p>
        </w:tc>
      </w:tr>
      <w:tr w14:paraId="4F65F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336" w:type="pct"/>
            <w:tcBorders>
              <w:top w:val="nil"/>
              <w:left w:val="nil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D14F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初级</w:t>
            </w:r>
          </w:p>
        </w:tc>
        <w:tc>
          <w:tcPr>
            <w:tcW w:w="743" w:type="pct"/>
            <w:tcBorders>
              <w:top w:val="nil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FB6D99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60%</w:t>
            </w:r>
          </w:p>
        </w:tc>
        <w:tc>
          <w:tcPr>
            <w:tcW w:w="743" w:type="pct"/>
            <w:tcBorders>
              <w:top w:val="nil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A7FE8E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25%</w:t>
            </w:r>
          </w:p>
        </w:tc>
        <w:tc>
          <w:tcPr>
            <w:tcW w:w="511" w:type="pct"/>
            <w:tcBorders>
              <w:top w:val="nil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841AC0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10%</w:t>
            </w:r>
          </w:p>
        </w:tc>
        <w:tc>
          <w:tcPr>
            <w:tcW w:w="2666" w:type="pct"/>
            <w:tcBorders>
              <w:top w:val="nil"/>
              <w:left w:val="single" w:color="FFFFFF" w:sz="8" w:space="0"/>
              <w:bottom w:val="single" w:color="FFFFFF" w:themeColor="background1" w:sz="12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B7E8D8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初级工程师：基本工资7,500元，绩效上限2,500元</w:t>
            </w:r>
          </w:p>
        </w:tc>
      </w:tr>
      <w:tr w14:paraId="6B091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336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A271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专家</w:t>
            </w:r>
          </w:p>
        </w:tc>
        <w:tc>
          <w:tcPr>
            <w:tcW w:w="743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CD6220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45%</w:t>
            </w:r>
          </w:p>
        </w:tc>
        <w:tc>
          <w:tcPr>
            <w:tcW w:w="743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660711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32%</w:t>
            </w:r>
          </w:p>
        </w:tc>
        <w:tc>
          <w:tcPr>
            <w:tcW w:w="511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EC9CB1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18%</w:t>
            </w:r>
          </w:p>
        </w:tc>
        <w:tc>
          <w:tcPr>
            <w:tcW w:w="2666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1936BC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技术专家：基本工资18,000元，绩效奖金12,000元</w:t>
            </w:r>
          </w:p>
        </w:tc>
      </w:tr>
    </w:tbl>
    <w:p w14:paraId="0470ED45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结论</w:t>
      </w:r>
      <w:r>
        <w:rPr>
          <w:rFonts w:hint="eastAsia" w:ascii="微软雅黑" w:hAnsi="微软雅黑" w:eastAsia="微软雅黑" w:cs="微软雅黑"/>
        </w:rPr>
        <w:t>：职级晋升后，绩效工资增幅不足（专家级仅32% vs 行业40%+），难以匹配高阶岗位的贡献度。</w:t>
      </w:r>
    </w:p>
    <w:p w14:paraId="018DD815">
      <w:pPr>
        <w:pStyle w:val="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职级薪酬与晋升机制分析</w:t>
      </w:r>
    </w:p>
    <w:p w14:paraId="5D71620C">
      <w:pPr>
        <w:pStyle w:val="3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职级薪酬分布与市场对标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7"/>
        <w:gridCol w:w="505"/>
        <w:gridCol w:w="1046"/>
        <w:gridCol w:w="1290"/>
        <w:gridCol w:w="925"/>
        <w:gridCol w:w="1125"/>
      </w:tblGrid>
      <w:tr w14:paraId="724E5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nil"/>
              <w:left w:val="nil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D4FB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职级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66AE41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人数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B062A1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平均月薪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26ECEE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市场75分位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549386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薪酬缺口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59753D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709930</wp:posOffset>
                  </wp:positionH>
                  <wp:positionV relativeFrom="paragraph">
                    <wp:posOffset>12700</wp:posOffset>
                  </wp:positionV>
                  <wp:extent cx="2915920" cy="1844675"/>
                  <wp:effectExtent l="5080" t="4445" r="12700" b="36830"/>
                  <wp:wrapNone/>
                  <wp:docPr id="4" name="图表 4" descr="7b0a202020202263686172745265734964223a20223230343736353132220a7d0a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主动离职率</w:t>
            </w:r>
          </w:p>
        </w:tc>
      </w:tr>
      <w:tr w14:paraId="25088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nil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4541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初级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1FF737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35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E18859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9,500元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B42599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11,200元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C4AE80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15%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5BF552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8%</w:t>
            </w:r>
          </w:p>
        </w:tc>
      </w:tr>
      <w:tr w14:paraId="3508C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FFBB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中级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E00960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50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67BEFA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15,000元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236E44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19,000元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D5E7C6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21%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5E184E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12%</w:t>
            </w:r>
          </w:p>
        </w:tc>
      </w:tr>
      <w:tr w14:paraId="12A0D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FFFFFF" w:sz="8" w:space="0"/>
              <w:left w:val="nil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578E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高级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5E926B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30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6BCFA0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22,000元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B068E6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26,000元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34FA2B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15%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BCF87C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18%</w:t>
            </w:r>
          </w:p>
        </w:tc>
      </w:tr>
      <w:tr w14:paraId="3A9C1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6171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专家</w:t>
            </w:r>
          </w:p>
        </w:tc>
        <w:tc>
          <w:tcPr>
            <w:tcW w:w="0" w:type="auto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845E7F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9AE0D0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32,000元</w:t>
            </w:r>
          </w:p>
        </w:tc>
        <w:tc>
          <w:tcPr>
            <w:tcW w:w="0" w:type="auto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3F7F00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38,000元</w:t>
            </w:r>
          </w:p>
        </w:tc>
        <w:tc>
          <w:tcPr>
            <w:tcW w:w="0" w:type="auto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91EABC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16%</w:t>
            </w:r>
          </w:p>
        </w:tc>
        <w:tc>
          <w:tcPr>
            <w:tcW w:w="0" w:type="auto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745178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20%</w:t>
            </w:r>
          </w:p>
        </w:tc>
      </w:tr>
    </w:tbl>
    <w:p w14:paraId="33E2F76A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关键发现：</w:t>
      </w:r>
    </w:p>
    <w:p w14:paraId="5FDA1233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职级越高，薪酬缺口越大</w:t>
      </w:r>
      <w:r>
        <w:rPr>
          <w:rFonts w:hint="eastAsia" w:ascii="微软雅黑" w:hAnsi="微软雅黑" w:eastAsia="微软雅黑" w:cs="微软雅黑"/>
          <w:b w:val="0"/>
          <w:bCs w:val="0"/>
        </w:rPr>
        <w:t>：专家级月薪较市场75分位低6,000元，导致核心人才被猎头挖角风险加剧。</w:t>
      </w:r>
    </w:p>
    <w:p w14:paraId="6AE1747C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离职率与薪酬竞争力负相关</w:t>
      </w:r>
      <w:r>
        <w:rPr>
          <w:rFonts w:hint="eastAsia" w:ascii="微软雅黑" w:hAnsi="微软雅黑" w:eastAsia="微软雅黑" w:cs="微软雅黑"/>
          <w:b w:val="0"/>
          <w:bCs w:val="0"/>
        </w:rPr>
        <w:t>：专家级离职率高达20%，远高于行业均值（12%）。</w:t>
      </w:r>
    </w:p>
    <w:p w14:paraId="1B92C09B">
      <w:pPr>
        <w:pStyle w:val="3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晋升机制与薪酬增长关联性</w:t>
      </w:r>
    </w:p>
    <w:p w14:paraId="5F260CBC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晋升周期：</w:t>
      </w:r>
      <w:r>
        <w:rPr>
          <w:rFonts w:hint="eastAsia" w:ascii="微软雅黑" w:hAnsi="微软雅黑" w:eastAsia="微软雅黑" w:cs="微软雅黑"/>
        </w:rPr>
        <w:t>初级→中级（2.5年）、中级→高级（3年）、高级→专家（4年）。</w:t>
      </w:r>
    </w:p>
    <w:p w14:paraId="6DAF1C9B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晋升后薪酬涨幅：</w:t>
      </w:r>
    </w:p>
    <w:p w14:paraId="051396E7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初级→中级：30%（例：9,500元→12,350元）。</w:t>
      </w:r>
    </w:p>
    <w:p w14:paraId="24890824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中级→高级：40%（例：15,000元→21,000元）。</w:t>
      </w:r>
    </w:p>
    <w:p w14:paraId="4D1FE904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高级→专家：60%（例：22,000元→35,200元）。</w:t>
      </w:r>
    </w:p>
    <w:p w14:paraId="1AC6D6A2"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问题诊断：</w:t>
      </w:r>
    </w:p>
    <w:p w14:paraId="5DBF10DE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晋升周期过长</w:t>
      </w:r>
      <w:r>
        <w:rPr>
          <w:rFonts w:hint="eastAsia" w:ascii="微软雅黑" w:hAnsi="微软雅黑" w:eastAsia="微软雅黑" w:cs="微软雅黑"/>
          <w:b w:val="0"/>
          <w:bCs w:val="0"/>
        </w:rPr>
        <w:t>：互联网行业平均晋升周期为1.5-2年，公司现行机制难以吸引年轻高潜人才。</w:t>
      </w:r>
    </w:p>
    <w:p w14:paraId="371726EB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涨幅集中后期</w:t>
      </w:r>
      <w:r>
        <w:rPr>
          <w:rFonts w:hint="eastAsia" w:ascii="微软雅黑" w:hAnsi="微软雅黑" w:eastAsia="微软雅黑" w:cs="微软雅黑"/>
          <w:b w:val="0"/>
          <w:bCs w:val="0"/>
        </w:rPr>
        <w:t>：初级员工前三年涨幅不足，导致入职1-3年员工流失率高达25%。</w:t>
      </w:r>
    </w:p>
    <w:p w14:paraId="63437715">
      <w:pPr>
        <w:pStyle w:val="2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40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部门薪酬差异与效能分析</w:t>
      </w:r>
    </w:p>
    <w:p w14:paraId="0490E42C">
      <w:pPr>
        <w:pStyle w:val="3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部门薪酬结构对比</w:t>
      </w:r>
    </w:p>
    <w:tbl>
      <w:tblPr>
        <w:tblStyle w:val="16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1"/>
        <w:gridCol w:w="1147"/>
        <w:gridCol w:w="1476"/>
        <w:gridCol w:w="1476"/>
        <w:gridCol w:w="4954"/>
      </w:tblGrid>
      <w:tr w14:paraId="7F34B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564" w:type="pct"/>
            <w:tcBorders>
              <w:top w:val="nil"/>
              <w:left w:val="nil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4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部门</w:t>
            </w:r>
          </w:p>
        </w:tc>
        <w:tc>
          <w:tcPr>
            <w:tcW w:w="562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CD45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平均月薪</w:t>
            </w:r>
          </w:p>
        </w:tc>
        <w:tc>
          <w:tcPr>
            <w:tcW w:w="723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51752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绩效工资占比</w:t>
            </w:r>
          </w:p>
        </w:tc>
        <w:tc>
          <w:tcPr>
            <w:tcW w:w="723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7EFF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福利补贴占比</w:t>
            </w:r>
          </w:p>
        </w:tc>
        <w:tc>
          <w:tcPr>
            <w:tcW w:w="2426" w:type="pct"/>
            <w:tcBorders>
              <w:top w:val="nil"/>
              <w:left w:val="single" w:color="FFFFFF" w:sz="8" w:space="0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A29A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薪酬结构特点</w:t>
            </w:r>
          </w:p>
        </w:tc>
      </w:tr>
      <w:tr w14:paraId="3ED01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564" w:type="pct"/>
            <w:tcBorders>
              <w:top w:val="nil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09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销售部</w:t>
            </w:r>
          </w:p>
        </w:tc>
        <w:tc>
          <w:tcPr>
            <w:tcW w:w="562" w:type="pct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3EF6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16,500元</w:t>
            </w:r>
          </w:p>
        </w:tc>
        <w:tc>
          <w:tcPr>
            <w:tcW w:w="723" w:type="pct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DC7A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40%</w:t>
            </w:r>
          </w:p>
        </w:tc>
        <w:tc>
          <w:tcPr>
            <w:tcW w:w="723" w:type="pct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C6FF6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6%</w:t>
            </w:r>
          </w:p>
        </w:tc>
        <w:tc>
          <w:tcPr>
            <w:tcW w:w="2426" w:type="pct"/>
            <w:tcBorders>
              <w:top w:val="nil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38FD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高佣金+季度奖金，Top Sales年薪可达45万元</w:t>
            </w:r>
          </w:p>
        </w:tc>
      </w:tr>
      <w:tr w14:paraId="0C117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564" w:type="pct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82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技术部</w:t>
            </w:r>
          </w:p>
        </w:tc>
        <w:tc>
          <w:tcPr>
            <w:tcW w:w="56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5719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18,000元</w:t>
            </w:r>
          </w:p>
        </w:tc>
        <w:tc>
          <w:tcPr>
            <w:tcW w:w="72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A531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35%</w:t>
            </w:r>
          </w:p>
        </w:tc>
        <w:tc>
          <w:tcPr>
            <w:tcW w:w="72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5E45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5%</w:t>
            </w:r>
          </w:p>
        </w:tc>
        <w:tc>
          <w:tcPr>
            <w:tcW w:w="242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5CAD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项目奖金制，但分配依赖主观评价</w:t>
            </w:r>
          </w:p>
        </w:tc>
      </w:tr>
      <w:tr w14:paraId="0D398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564" w:type="pct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0E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市场部</w:t>
            </w:r>
          </w:p>
        </w:tc>
        <w:tc>
          <w:tcPr>
            <w:tcW w:w="56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1C1A7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12,000元</w:t>
            </w:r>
          </w:p>
        </w:tc>
        <w:tc>
          <w:tcPr>
            <w:tcW w:w="72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0BB3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25%</w:t>
            </w:r>
          </w:p>
        </w:tc>
        <w:tc>
          <w:tcPr>
            <w:tcW w:w="72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6DB5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4%</w:t>
            </w:r>
          </w:p>
        </w:tc>
        <w:tc>
          <w:tcPr>
            <w:tcW w:w="242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B43A8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固定薪资为主，缺乏业绩挂钩机制</w:t>
            </w:r>
          </w:p>
        </w:tc>
      </w:tr>
      <w:tr w14:paraId="0A67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564" w:type="pct"/>
            <w:tcBorders>
              <w:top w:val="single" w:color="FFFFFF" w:sz="8" w:space="0"/>
              <w:left w:val="nil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E9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财务部</w:t>
            </w:r>
          </w:p>
        </w:tc>
        <w:tc>
          <w:tcPr>
            <w:tcW w:w="562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ED7B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11,000元</w:t>
            </w:r>
          </w:p>
        </w:tc>
        <w:tc>
          <w:tcPr>
            <w:tcW w:w="723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79DF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20%</w:t>
            </w:r>
          </w:p>
        </w:tc>
        <w:tc>
          <w:tcPr>
            <w:tcW w:w="723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3DFF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3%</w:t>
            </w:r>
          </w:p>
        </w:tc>
        <w:tc>
          <w:tcPr>
            <w:tcW w:w="2426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nil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2565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保守结构，年终奖占比不足10%</w:t>
            </w:r>
          </w:p>
        </w:tc>
      </w:tr>
      <w:tr w14:paraId="632F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564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CB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人力资源部</w:t>
            </w:r>
          </w:p>
        </w:tc>
        <w:tc>
          <w:tcPr>
            <w:tcW w:w="562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7F24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10,500元</w:t>
            </w:r>
          </w:p>
        </w:tc>
        <w:tc>
          <w:tcPr>
            <w:tcW w:w="723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C450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18%</w:t>
            </w:r>
          </w:p>
        </w:tc>
        <w:tc>
          <w:tcPr>
            <w:tcW w:w="723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F0B8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3%</w:t>
            </w:r>
          </w:p>
        </w:tc>
        <w:tc>
          <w:tcPr>
            <w:tcW w:w="2426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2ED4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全员固定薪资，无绩效差异化</w:t>
            </w:r>
          </w:p>
        </w:tc>
      </w:tr>
    </w:tbl>
    <w:p w14:paraId="22B9E99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8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突出问题：</w:t>
      </w:r>
    </w:p>
    <w:p w14:paraId="7EF2A9F0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市场部激励缺失</w:t>
      </w:r>
      <w:r>
        <w:rPr>
          <w:rFonts w:hint="eastAsia" w:ascii="微软雅黑" w:hAnsi="微软雅黑" w:eastAsia="微软雅黑" w:cs="微软雅黑"/>
          <w:b w:val="0"/>
          <w:bCs w:val="0"/>
        </w:rPr>
        <w:t>：市场专员绩效工资仅25%，低于销售部（40%），导致优质人才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流失</w:t>
      </w:r>
      <w:r>
        <w:rPr>
          <w:rFonts w:hint="eastAsia" w:ascii="微软雅黑" w:hAnsi="微软雅黑" w:eastAsia="微软雅黑" w:cs="微软雅黑"/>
          <w:b w:val="0"/>
          <w:bCs w:val="0"/>
        </w:rPr>
        <w:t>。</w:t>
      </w:r>
    </w:p>
    <w:p w14:paraId="541FDAB6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技术部项目奖金分配不公</w:t>
      </w:r>
      <w:r>
        <w:rPr>
          <w:rFonts w:hint="eastAsia" w:ascii="微软雅黑" w:hAnsi="微软雅黑" w:eastAsia="微软雅黑" w:cs="微软雅黑"/>
          <w:b w:val="0"/>
          <w:bCs w:val="0"/>
        </w:rPr>
        <w:t>：35%员工反馈“项目贡献与奖金不匹配”。</w:t>
      </w:r>
    </w:p>
    <w:p w14:paraId="1D32B856">
      <w:pPr>
        <w:pStyle w:val="3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部门人效与薪酬匹配度</w:t>
      </w:r>
    </w:p>
    <w:tbl>
      <w:tblPr>
        <w:tblStyle w:val="16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7"/>
        <w:gridCol w:w="2309"/>
        <w:gridCol w:w="1325"/>
        <w:gridCol w:w="1325"/>
        <w:gridCol w:w="4016"/>
      </w:tblGrid>
      <w:tr w14:paraId="63517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601" w:type="pct"/>
            <w:tcBorders>
              <w:top w:val="nil"/>
              <w:left w:val="nil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5C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部门</w:t>
            </w:r>
          </w:p>
        </w:tc>
        <w:tc>
          <w:tcPr>
            <w:tcW w:w="1131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D3CF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人均年产值（万元）</w:t>
            </w:r>
          </w:p>
        </w:tc>
        <w:tc>
          <w:tcPr>
            <w:tcW w:w="649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B602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投入产出比</w:t>
            </w:r>
          </w:p>
        </w:tc>
        <w:tc>
          <w:tcPr>
            <w:tcW w:w="649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CBF99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薪酬产值比</w:t>
            </w:r>
          </w:p>
        </w:tc>
        <w:tc>
          <w:tcPr>
            <w:tcW w:w="1967" w:type="pct"/>
            <w:tcBorders>
              <w:top w:val="nil"/>
              <w:left w:val="single" w:color="FFFFFF" w:sz="8" w:space="0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07FD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问题诊断</w:t>
            </w:r>
          </w:p>
        </w:tc>
      </w:tr>
      <w:tr w14:paraId="15963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601" w:type="pct"/>
            <w:tcBorders>
              <w:top w:val="nil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C7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销售部</w:t>
            </w:r>
          </w:p>
        </w:tc>
        <w:tc>
          <w:tcPr>
            <w:tcW w:w="1131" w:type="pct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351E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280</w:t>
            </w:r>
          </w:p>
        </w:tc>
        <w:tc>
          <w:tcPr>
            <w:tcW w:w="649" w:type="pct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A910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14.5</w:t>
            </w:r>
          </w:p>
        </w:tc>
        <w:tc>
          <w:tcPr>
            <w:tcW w:w="649" w:type="pct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0487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56.25</w:t>
            </w:r>
          </w:p>
        </w:tc>
        <w:tc>
          <w:tcPr>
            <w:tcW w:w="1967" w:type="pct"/>
            <w:tcBorders>
              <w:top w:val="nil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6E1B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高激励驱动高产出，模型健康</w:t>
            </w:r>
          </w:p>
        </w:tc>
      </w:tr>
      <w:tr w14:paraId="5FCC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601" w:type="pct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C2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技术部</w:t>
            </w:r>
          </w:p>
        </w:tc>
        <w:tc>
          <w:tcPr>
            <w:tcW w:w="113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8D54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150</w:t>
            </w:r>
          </w:p>
        </w:tc>
        <w:tc>
          <w:tcPr>
            <w:tcW w:w="6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4369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8.2</w:t>
            </w:r>
          </w:p>
        </w:tc>
        <w:tc>
          <w:tcPr>
            <w:tcW w:w="6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AD8D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93.33</w:t>
            </w:r>
          </w:p>
        </w:tc>
        <w:tc>
          <w:tcPr>
            <w:tcW w:w="196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AB93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固定成本过高，需优化项目评估机制</w:t>
            </w:r>
          </w:p>
        </w:tc>
      </w:tr>
      <w:tr w14:paraId="2BE0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601" w:type="pct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85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市场部</w:t>
            </w:r>
          </w:p>
        </w:tc>
        <w:tc>
          <w:tcPr>
            <w:tcW w:w="113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E5262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75</w:t>
            </w:r>
          </w:p>
        </w:tc>
        <w:tc>
          <w:tcPr>
            <w:tcW w:w="6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F587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5.0</w:t>
            </w:r>
          </w:p>
        </w:tc>
        <w:tc>
          <w:tcPr>
            <w:tcW w:w="6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DBA0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137.50</w:t>
            </w:r>
          </w:p>
        </w:tc>
        <w:tc>
          <w:tcPr>
            <w:tcW w:w="196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D17B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低薪酬与低产出恶性循环</w:t>
            </w:r>
          </w:p>
        </w:tc>
      </w:tr>
      <w:tr w14:paraId="00EE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601" w:type="pct"/>
            <w:tcBorders>
              <w:top w:val="single" w:color="FFFFFF" w:sz="8" w:space="0"/>
              <w:left w:val="nil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09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财务部</w:t>
            </w:r>
          </w:p>
        </w:tc>
        <w:tc>
          <w:tcPr>
            <w:tcW w:w="1131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ABEF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20</w:t>
            </w:r>
          </w:p>
        </w:tc>
        <w:tc>
          <w:tcPr>
            <w:tcW w:w="649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0A76A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2.0</w:t>
            </w:r>
          </w:p>
        </w:tc>
        <w:tc>
          <w:tcPr>
            <w:tcW w:w="649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BC8C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350.00</w:t>
            </w:r>
          </w:p>
        </w:tc>
        <w:tc>
          <w:tcPr>
            <w:tcW w:w="1967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nil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9308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人力成本效率低下，亟需数字化转型</w:t>
            </w:r>
          </w:p>
        </w:tc>
      </w:tr>
      <w:tr w14:paraId="65709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601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38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人力资源部</w:t>
            </w:r>
          </w:p>
        </w:tc>
        <w:tc>
          <w:tcPr>
            <w:tcW w:w="1131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BA27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8.6</w:t>
            </w:r>
          </w:p>
        </w:tc>
        <w:tc>
          <w:tcPr>
            <w:tcW w:w="649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D558A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0.9</w:t>
            </w:r>
          </w:p>
        </w:tc>
        <w:tc>
          <w:tcPr>
            <w:tcW w:w="649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C362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1,000.00</w:t>
            </w:r>
          </w:p>
        </w:tc>
        <w:tc>
          <w:tcPr>
            <w:tcW w:w="1967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2041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薪酬与贡献严重失衡，需精简岗位</w:t>
            </w:r>
          </w:p>
        </w:tc>
      </w:tr>
    </w:tbl>
    <w:p w14:paraId="766FE0B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8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结论</w:t>
      </w:r>
      <w:r>
        <w:rPr>
          <w:rFonts w:hint="eastAsia" w:ascii="微软雅黑" w:hAnsi="微软雅黑" w:eastAsia="微软雅黑" w:cs="微软雅黑"/>
        </w:rPr>
        <w:t>：职能部门人效危机：人力部每投入1元人力成本仅产生0.9元产值，资源浪费显著。</w:t>
      </w:r>
    </w:p>
    <w:p w14:paraId="73C57FD8">
      <w:pPr>
        <w:pStyle w:val="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核心问题总结</w:t>
      </w:r>
    </w:p>
    <w:tbl>
      <w:tblPr>
        <w:tblStyle w:val="16"/>
        <w:tblW w:w="498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4249"/>
        <w:gridCol w:w="4451"/>
      </w:tblGrid>
      <w:tr w14:paraId="3F150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724" w:type="pct"/>
            <w:tcBorders>
              <w:top w:val="nil"/>
              <w:left w:val="nil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F2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问题维度</w:t>
            </w:r>
          </w:p>
        </w:tc>
        <w:tc>
          <w:tcPr>
            <w:tcW w:w="2088" w:type="pct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218B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具体表现</w:t>
            </w:r>
          </w:p>
        </w:tc>
        <w:tc>
          <w:tcPr>
            <w:tcW w:w="2187" w:type="pct"/>
            <w:tcBorders>
              <w:top w:val="nil"/>
              <w:left w:val="single" w:color="FFFFFF" w:sz="8" w:space="0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9948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数据支持</w:t>
            </w:r>
          </w:p>
        </w:tc>
      </w:tr>
      <w:tr w14:paraId="2E63B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4" w:type="pct"/>
            <w:tcBorders>
              <w:top w:val="nil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F7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竞争力不足</w:t>
            </w:r>
          </w:p>
        </w:tc>
        <w:tc>
          <w:tcPr>
            <w:tcW w:w="2088" w:type="pct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A518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1. 高层岗位薪酬显著低于市场75分位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2. 专家级人才流失率高</w:t>
            </w:r>
          </w:p>
        </w:tc>
        <w:tc>
          <w:tcPr>
            <w:tcW w:w="2187" w:type="pct"/>
            <w:tcBorders>
              <w:top w:val="nil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AE96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★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spacing w:val="-6"/>
                <w:sz w:val="21"/>
                <w:lang w:val="en-US" w:eastAsia="zh-CN"/>
              </w:rPr>
              <w:t>专家级薪酬缺口16%（32,000元 vs 38,000元）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★专家级主动离职率20%（行业均值12%）</w:t>
            </w:r>
          </w:p>
        </w:tc>
      </w:tr>
      <w:tr w14:paraId="2E708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4" w:type="pct"/>
            <w:tcBorders>
              <w:top w:val="single" w:color="FFFFFF" w:sz="8" w:space="0"/>
              <w:left w:val="nil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05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结构公平性</w:t>
            </w:r>
          </w:p>
          <w:p w14:paraId="4C782B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缺失</w:t>
            </w:r>
          </w:p>
        </w:tc>
        <w:tc>
          <w:tcPr>
            <w:tcW w:w="2088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637B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1. 销售部与职能部门薪酬差距达40%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2. 同岗不同酬（技术岗薪酬差异最高25%）</w:t>
            </w:r>
          </w:p>
        </w:tc>
        <w:tc>
          <w:tcPr>
            <w:tcW w:w="2187" w:type="pct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nil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BFD8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★销售部人均产值280万元 vs 人力部8.6万元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★同一职级技术工程师薪酬波动±25%</w:t>
            </w:r>
          </w:p>
        </w:tc>
      </w:tr>
      <w:tr w14:paraId="68FC1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4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11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人效管理粗放</w:t>
            </w:r>
          </w:p>
        </w:tc>
        <w:tc>
          <w:tcPr>
            <w:tcW w:w="2088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3BAD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1. 职能部门人效低下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2. 低效岗位冗余（财务部40%时间用于手工操作）</w:t>
            </w:r>
          </w:p>
        </w:tc>
        <w:tc>
          <w:tcPr>
            <w:tcW w:w="2187" w:type="pct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0A609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★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人力部投入产出比0.9（行业均值5-7）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★</w:t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财务部自动化率不足20%</w:t>
            </w:r>
          </w:p>
        </w:tc>
      </w:tr>
    </w:tbl>
    <w:p w14:paraId="66356EF3">
      <w:pPr>
        <w:pStyle w:val="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系统性优化方案</w:t>
      </w:r>
    </w:p>
    <w:p w14:paraId="5060DA9A">
      <w:pPr>
        <w:pStyle w:val="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短期措施（0-6个月）</w:t>
      </w:r>
    </w:p>
    <w:p w14:paraId="3683BFE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8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薪酬竞争力提升：</w:t>
      </w:r>
    </w:p>
    <w:p w14:paraId="0241BB37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高层岗位</w:t>
      </w:r>
      <w:r>
        <w:rPr>
          <w:rFonts w:hint="eastAsia" w:ascii="微软雅黑" w:hAnsi="微软雅黑" w:eastAsia="微软雅黑" w:cs="微软雅黑"/>
          <w:b w:val="0"/>
          <w:bCs w:val="0"/>
        </w:rPr>
        <w:t>：一次性调薪18%，对标市场75分位（例：专家级月薪从32,000元→37,760元）。</w:t>
      </w:r>
    </w:p>
    <w:p w14:paraId="4BC04951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中层岗位</w:t>
      </w:r>
      <w:r>
        <w:rPr>
          <w:rFonts w:hint="eastAsia" w:ascii="微软雅黑" w:hAnsi="微软雅黑" w:eastAsia="微软雅黑" w:cs="微软雅黑"/>
          <w:b w:val="0"/>
          <w:bCs w:val="0"/>
        </w:rPr>
        <w:t>：分两次调薪（2025Q3+Q4），累计涨幅10%。</w:t>
      </w:r>
    </w:p>
    <w:p w14:paraId="4E2B320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8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福利体系升级：</w:t>
      </w:r>
    </w:p>
    <w:p w14:paraId="37775764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新增弹性福利包</w:t>
      </w:r>
      <w:r>
        <w:rPr>
          <w:rFonts w:hint="eastAsia" w:ascii="微软雅黑" w:hAnsi="微软雅黑" w:eastAsia="微软雅黑" w:cs="微软雅黑"/>
          <w:b w:val="0"/>
          <w:bCs w:val="0"/>
        </w:rPr>
        <w:t>：健康保险（覆盖90%员工）、学习基金（人均2,000元/年）。</w:t>
      </w:r>
    </w:p>
    <w:p w14:paraId="604B06D7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部门差异化补贴</w:t>
      </w:r>
      <w:r>
        <w:rPr>
          <w:rFonts w:hint="eastAsia" w:ascii="微软雅黑" w:hAnsi="微软雅黑" w:eastAsia="微软雅黑" w:cs="微软雅黑"/>
          <w:b w:val="0"/>
          <w:bCs w:val="0"/>
        </w:rPr>
        <w:t>：技术部增设专利奖金，市场部增加业绩达标奖。</w:t>
      </w:r>
    </w:p>
    <w:p w14:paraId="7A46BDD7">
      <w:pPr>
        <w:pStyle w:val="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中期策略（6-12个月）</w:t>
      </w:r>
    </w:p>
    <w:p w14:paraId="79619F1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8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薪酬结构改革：</w:t>
      </w:r>
    </w:p>
    <w:p w14:paraId="01F141EA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职能部门绩效工资占比从20%提升至35%，与KPI强挂钩。</w:t>
      </w:r>
    </w:p>
    <w:p w14:paraId="7160F4B3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引入“薪酬带宽”机制</w:t>
      </w:r>
      <w:r>
        <w:rPr>
          <w:rFonts w:hint="eastAsia" w:ascii="微软雅黑" w:hAnsi="微软雅黑" w:eastAsia="微软雅黑" w:cs="微软雅黑"/>
          <w:b w:val="0"/>
          <w:bCs w:val="0"/>
        </w:rPr>
        <w:t>：同一职级薪酬浮动范围±15%，增强灵活性。</w:t>
      </w:r>
    </w:p>
    <w:p w14:paraId="7E43D1B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8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人效提升计划：</w:t>
      </w:r>
    </w:p>
    <w:p w14:paraId="3621A494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财务部</w:t>
      </w:r>
      <w:r>
        <w:rPr>
          <w:rFonts w:hint="eastAsia" w:ascii="微软雅黑" w:hAnsi="微软雅黑" w:eastAsia="微软雅黑" w:cs="微软雅黑"/>
          <w:b w:val="0"/>
          <w:bCs w:val="0"/>
        </w:rPr>
        <w:t>：上线RPA流程自动化，减少30%手工工作量，优化5个岗位。</w:t>
      </w:r>
    </w:p>
    <w:p w14:paraId="7B03B4D3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人力资源部</w:t>
      </w:r>
      <w:r>
        <w:rPr>
          <w:rFonts w:hint="eastAsia" w:ascii="微软雅黑" w:hAnsi="微软雅黑" w:eastAsia="微软雅黑" w:cs="微软雅黑"/>
          <w:b w:val="0"/>
          <w:bCs w:val="0"/>
        </w:rPr>
        <w:t>：推行HRBP模式，将事务性工作集中至共享服务中心。</w:t>
      </w:r>
    </w:p>
    <w:p w14:paraId="32316A42">
      <w:pPr>
        <w:pStyle w:val="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长期机制（1-3年）</w:t>
      </w:r>
    </w:p>
    <w:p w14:paraId="1EBF93B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8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职业发展体系重构：</w:t>
      </w:r>
    </w:p>
    <w:p w14:paraId="63FE228C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缩短晋升周期</w:t>
      </w:r>
      <w:r>
        <w:rPr>
          <w:rFonts w:hint="eastAsia" w:ascii="微软雅黑" w:hAnsi="微软雅黑" w:eastAsia="微软雅黑" w:cs="微软雅黑"/>
          <w:b w:val="0"/>
          <w:bCs w:val="0"/>
        </w:rPr>
        <w:t>：初级→中级（2年）、中级→高级（2.5年）。</w:t>
      </w:r>
    </w:p>
    <w:p w14:paraId="3487E551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</w:rPr>
        <w:t>增设“技术双通道</w:t>
      </w:r>
      <w:r>
        <w:rPr>
          <w:rFonts w:hint="eastAsia" w:ascii="微软雅黑" w:hAnsi="微软雅黑" w:eastAsia="微软雅黑" w:cs="微软雅黑"/>
          <w:b w:val="0"/>
          <w:bCs w:val="0"/>
        </w:rPr>
        <w:t>”：专家岗可平行晋升至首席工程师（年薪60万+）。</w:t>
      </w:r>
    </w:p>
    <w:p w14:paraId="1523642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8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数据化薪酬管理：</w:t>
      </w:r>
    </w:p>
    <w:p w14:paraId="639F7265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搭建“薪酬-人效”联动仪表盘，实时监控部门ROI与薪酬健康度。</w:t>
      </w:r>
    </w:p>
    <w:p w14:paraId="783146D4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80" w:lineRule="exact"/>
        <w:ind w:left="0" w:leftChars="0"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引入AI薪酬预测模型，动态调整市场对标参数。</w:t>
      </w:r>
    </w:p>
    <w:p w14:paraId="376EB0F9">
      <w:pPr>
        <w:pStyle w:val="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预期效果与监控机制</w:t>
      </w:r>
    </w:p>
    <w:p w14:paraId="6AEC09D8">
      <w:pPr>
        <w:pStyle w:val="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量化目标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7"/>
        <w:gridCol w:w="1444"/>
        <w:gridCol w:w="1247"/>
        <w:gridCol w:w="1247"/>
      </w:tblGrid>
      <w:tr w14:paraId="3099D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</w:trPr>
        <w:tc>
          <w:tcPr>
            <w:tcW w:w="1587" w:type="dxa"/>
            <w:tcBorders>
              <w:top w:val="nil"/>
              <w:left w:val="nil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CC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指标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CEB1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基线（2025）</w:t>
            </w:r>
          </w:p>
        </w:tc>
        <w:tc>
          <w:tcPr>
            <w:tcW w:w="1247" w:type="dxa"/>
            <w:tcBorders>
              <w:top w:val="nil"/>
              <w:left w:val="single" w:color="FFFFFF" w:sz="8" w:space="0"/>
              <w:bottom w:val="nil"/>
              <w:right w:val="single" w:color="FFFFFF" w:sz="8" w:space="0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A5BE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12个月目标</w:t>
            </w:r>
          </w:p>
        </w:tc>
        <w:tc>
          <w:tcPr>
            <w:tcW w:w="1247" w:type="dxa"/>
            <w:tcBorders>
              <w:top w:val="nil"/>
              <w:left w:val="single" w:color="FFFFFF" w:sz="8" w:space="0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6610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784225</wp:posOffset>
                  </wp:positionH>
                  <wp:positionV relativeFrom="paragraph">
                    <wp:posOffset>20320</wp:posOffset>
                  </wp:positionV>
                  <wp:extent cx="2879725" cy="1367790"/>
                  <wp:effectExtent l="4445" t="4445" r="11430" b="27940"/>
                  <wp:wrapNone/>
                  <wp:docPr id="5" name="图表 5" descr="7b0a202020202263686172745265734964223a20223230343736353132220a7d0a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36个月目标</w:t>
            </w:r>
          </w:p>
        </w:tc>
      </w:tr>
      <w:tr w14:paraId="2A4D7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</w:trPr>
        <w:tc>
          <w:tcPr>
            <w:tcW w:w="1587" w:type="dxa"/>
            <w:tcBorders>
              <w:top w:val="nil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BC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高端人才流失率</w:t>
            </w:r>
          </w:p>
        </w:tc>
        <w:tc>
          <w:tcPr>
            <w:tcW w:w="0" w:type="auto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7F6F8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20%</w:t>
            </w:r>
          </w:p>
        </w:tc>
        <w:tc>
          <w:tcPr>
            <w:tcW w:w="1247" w:type="dxa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088DFA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≤15%</w:t>
            </w:r>
          </w:p>
        </w:tc>
        <w:tc>
          <w:tcPr>
            <w:tcW w:w="1247" w:type="dxa"/>
            <w:tcBorders>
              <w:top w:val="nil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182E6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≤10%</w:t>
            </w:r>
          </w:p>
        </w:tc>
      </w:tr>
      <w:tr w14:paraId="2D721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</w:trPr>
        <w:tc>
          <w:tcPr>
            <w:tcW w:w="1587" w:type="dxa"/>
            <w:tcBorders>
              <w:top w:val="single" w:color="FFFFFF" w:sz="8" w:space="0"/>
              <w:left w:val="nil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D9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员工薪酬满意度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7F81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68%</w:t>
            </w:r>
          </w:p>
        </w:tc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8790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≥75%</w:t>
            </w:r>
          </w:p>
        </w:tc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nil"/>
            </w:tcBorders>
            <w:shd w:val="clear" w:color="auto" w:fill="DAE3F4" w:themeFill="accent1" w:themeFillTint="33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D900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≥85%</w:t>
            </w:r>
          </w:p>
        </w:tc>
      </w:tr>
      <w:tr w14:paraId="01E37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</w:trPr>
        <w:tc>
          <w:tcPr>
            <w:tcW w:w="1587" w:type="dxa"/>
            <w:tcBorders>
              <w:top w:val="single" w:color="FFFFFF" w:sz="8" w:space="0"/>
              <w:left w:val="nil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80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整体投入产出比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8C1F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8.3</w:t>
            </w:r>
          </w:p>
        </w:tc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single" w:color="FFFFFF" w:sz="8" w:space="0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5AEDC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9.5</w:t>
            </w:r>
          </w:p>
        </w:tc>
        <w:tc>
          <w:tcPr>
            <w:tcW w:w="1247" w:type="dxa"/>
            <w:tcBorders>
              <w:top w:val="single" w:color="FFFFFF" w:sz="8" w:space="0"/>
              <w:left w:val="single" w:color="FFFFFF" w:sz="8" w:space="0"/>
              <w:bottom w:val="single" w:color="FFFFFF" w:themeColor="background1" w:sz="12" w:space="0"/>
              <w:right w:val="nil"/>
            </w:tcBorders>
            <w:shd w:val="clear" w:color="auto" w:fill="EDF1F9" w:themeFill="accent1" w:themeFillTint="19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2FB7A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8090C"/>
                <w:lang w:val="en-US" w:eastAsia="zh-CN"/>
              </w:rPr>
              <w:t>11.0</w:t>
            </w:r>
          </w:p>
        </w:tc>
      </w:tr>
      <w:tr w14:paraId="7D88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</w:trPr>
        <w:tc>
          <w:tcPr>
            <w:tcW w:w="1587" w:type="dxa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FF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职能部门人效</w:t>
            </w:r>
          </w:p>
        </w:tc>
        <w:tc>
          <w:tcPr>
            <w:tcW w:w="0" w:type="auto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41708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20万元/人</w:t>
            </w:r>
          </w:p>
        </w:tc>
        <w:tc>
          <w:tcPr>
            <w:tcW w:w="1247" w:type="dxa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6F4E1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25万元/人</w:t>
            </w:r>
          </w:p>
        </w:tc>
        <w:tc>
          <w:tcPr>
            <w:tcW w:w="1247" w:type="dxa"/>
            <w:tcBorders>
              <w:top w:val="single" w:color="FFFFFF" w:themeColor="background1" w:sz="12" w:space="0"/>
              <w:left w:val="nil"/>
              <w:bottom w:val="nil"/>
              <w:right w:val="nil"/>
            </w:tcBorders>
            <w:shd w:val="clear" w:color="auto" w:fill="4874CB" w:themeFill="accent1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14:paraId="31690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lang w:val="en-US" w:eastAsia="zh-CN"/>
              </w:rPr>
              <w:t>35万元/人</w:t>
            </w:r>
          </w:p>
        </w:tc>
      </w:tr>
    </w:tbl>
    <w:p w14:paraId="0A579A2E">
      <w:pPr>
        <w:pStyle w:val="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监控与迭代</w:t>
      </w:r>
    </w:p>
    <w:p w14:paraId="0C44C41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8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季度复盘会议：HR与财务部联合汇报薪酬改革进展，调整策略。</w:t>
      </w:r>
    </w:p>
    <w:p w14:paraId="456CF15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8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员工反馈闭环：每半年开展匿名调研，针对痛点优化方案。</w:t>
      </w:r>
    </w:p>
    <w:p w14:paraId="2FF796B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80" w:lineRule="exact"/>
        <w:ind w:left="0" w:leftChars="0" w:firstLine="0" w:firstLineChars="0"/>
        <w:jc w:val="righ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报告编制：人力资源部</w:t>
      </w:r>
    </w:p>
    <w:p w14:paraId="4E852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80" w:lineRule="exact"/>
        <w:jc w:val="righ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日期：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2025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X日</w:t>
      </w:r>
    </w:p>
    <w:sectPr>
      <w:footerReference r:id="rId3" w:type="default"/>
      <w:pgSz w:w="11906" w:h="16838"/>
      <w:pgMar w:top="850" w:right="850" w:bottom="850" w:left="850" w:header="851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39249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A1EAE1">
                          <w:pPr>
                            <w:pStyle w:val="1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A1EAE1">
                    <w:pPr>
                      <w:pStyle w:val="1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2AC616"/>
    <w:multiLevelType w:val="singleLevel"/>
    <w:tmpl w:val="9A2AC616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">
    <w:nsid w:val="AD4332ED"/>
    <w:multiLevelType w:val="singleLevel"/>
    <w:tmpl w:val="AD4332ED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2">
    <w:nsid w:val="CF04CA8D"/>
    <w:multiLevelType w:val="singleLevel"/>
    <w:tmpl w:val="CF04CA8D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3">
    <w:nsid w:val="D1C3B245"/>
    <w:multiLevelType w:val="singleLevel"/>
    <w:tmpl w:val="D1C3B245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4">
    <w:nsid w:val="EAEB8AF0"/>
    <w:multiLevelType w:val="multilevel"/>
    <w:tmpl w:val="EAEB8A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  <w:sz w:val="24"/>
        <w:szCs w:val="24"/>
      </w:rPr>
    </w:lvl>
    <w:lvl w:ilvl="1" w:tentative="0">
      <w:start w:val="1"/>
      <w:numFmt w:val="lowerLetter"/>
      <w:pStyle w:val="19"/>
      <w:lvlText w:val="%2."/>
      <w:lvlJc w:val="left"/>
      <w:pPr>
        <w:tabs>
          <w:tab w:val="left" w:pos="1440"/>
        </w:tabs>
        <w:ind w:left="1440" w:hanging="360"/>
      </w:pPr>
      <w:rPr>
        <w:rFonts w:hint="eastAsia"/>
        <w:sz w:val="24"/>
        <w:szCs w:val="24"/>
      </w:rPr>
    </w:lvl>
    <w:lvl w:ilvl="2" w:tentative="0">
      <w:start w:val="1"/>
      <w:numFmt w:val="lowerRoman"/>
      <w:lvlText w:val="%3."/>
      <w:lvlJc w:val="left"/>
      <w:pPr>
        <w:tabs>
          <w:tab w:val="left" w:pos="2160"/>
        </w:tabs>
        <w:ind w:left="2160" w:hanging="360"/>
      </w:pPr>
      <w:rPr>
        <w:rFonts w:hint="eastAsia"/>
        <w:sz w:val="24"/>
        <w:szCs w:val="24"/>
      </w:rPr>
    </w:lvl>
    <w:lvl w:ilvl="3" w:tentative="0">
      <w:start w:val="1"/>
      <w:numFmt w:val="decimalEnclosedCircleChinese"/>
      <w:lvlText w:val="%4."/>
      <w:lvlJc w:val="left"/>
      <w:pPr>
        <w:tabs>
          <w:tab w:val="left" w:pos="2517"/>
        </w:tabs>
        <w:ind w:left="2880" w:hanging="360"/>
      </w:pPr>
      <w:rPr>
        <w:rFonts w:hint="eastAsia"/>
        <w:sz w:val="24"/>
        <w:szCs w:val="24"/>
      </w:rPr>
    </w:lvl>
    <w:lvl w:ilvl="4" w:tentative="0">
      <w:start w:val="1"/>
      <w:numFmt w:val="chineseLegalSimplified"/>
      <w:lvlText w:val="%5."/>
      <w:lvlJc w:val="left"/>
      <w:pPr>
        <w:tabs>
          <w:tab w:val="left" w:pos="3238"/>
        </w:tabs>
        <w:ind w:left="3600" w:hanging="360"/>
      </w:pPr>
      <w:rPr>
        <w:rFonts w:hint="eastAsia"/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hint="eastAsia"/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hint="eastAsia"/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hint="eastAsia"/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hint="eastAsia"/>
        <w:sz w:val="24"/>
        <w:szCs w:val="24"/>
      </w:rPr>
    </w:lvl>
  </w:abstractNum>
  <w:abstractNum w:abstractNumId="5">
    <w:nsid w:val="F466C4F1"/>
    <w:multiLevelType w:val="singleLevel"/>
    <w:tmpl w:val="F466C4F1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6">
    <w:nsid w:val="3E12FD61"/>
    <w:multiLevelType w:val="singleLevel"/>
    <w:tmpl w:val="3E12FD6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6487782D"/>
    <w:multiLevelType w:val="singleLevel"/>
    <w:tmpl w:val="6487782D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8">
    <w:nsid w:val="74A2AD9A"/>
    <w:multiLevelType w:val="singleLevel"/>
    <w:tmpl w:val="74A2AD9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456E9B"/>
    <w:rsid w:val="016D4D19"/>
    <w:rsid w:val="05544226"/>
    <w:rsid w:val="05D830A9"/>
    <w:rsid w:val="05FC4B31"/>
    <w:rsid w:val="06456E9B"/>
    <w:rsid w:val="075229E7"/>
    <w:rsid w:val="07CC279A"/>
    <w:rsid w:val="0911242E"/>
    <w:rsid w:val="0A0C3321"/>
    <w:rsid w:val="0C2F779B"/>
    <w:rsid w:val="0D4A5F0F"/>
    <w:rsid w:val="0E87566C"/>
    <w:rsid w:val="0F16254C"/>
    <w:rsid w:val="0F53360D"/>
    <w:rsid w:val="0FE8038D"/>
    <w:rsid w:val="0FEF4286"/>
    <w:rsid w:val="11CB1CF2"/>
    <w:rsid w:val="12D06EB6"/>
    <w:rsid w:val="15437E13"/>
    <w:rsid w:val="16FA7BB2"/>
    <w:rsid w:val="17E07B9B"/>
    <w:rsid w:val="19003862"/>
    <w:rsid w:val="1ABA60A8"/>
    <w:rsid w:val="1BBE3835"/>
    <w:rsid w:val="1C0C0F5F"/>
    <w:rsid w:val="21767161"/>
    <w:rsid w:val="25D07679"/>
    <w:rsid w:val="2AF91248"/>
    <w:rsid w:val="2B7E174D"/>
    <w:rsid w:val="2BC90C1A"/>
    <w:rsid w:val="2BF57C61"/>
    <w:rsid w:val="2D2D342B"/>
    <w:rsid w:val="2E5549E7"/>
    <w:rsid w:val="2E7C1A67"/>
    <w:rsid w:val="2F2919D0"/>
    <w:rsid w:val="2F2B7297"/>
    <w:rsid w:val="32897A14"/>
    <w:rsid w:val="34EE7F06"/>
    <w:rsid w:val="36A446FF"/>
    <w:rsid w:val="375164C0"/>
    <w:rsid w:val="39B76556"/>
    <w:rsid w:val="3A0B4AF4"/>
    <w:rsid w:val="3A233BEC"/>
    <w:rsid w:val="3A4769D9"/>
    <w:rsid w:val="3AC67990"/>
    <w:rsid w:val="3AF1257A"/>
    <w:rsid w:val="3BC767F9"/>
    <w:rsid w:val="3F2D1069"/>
    <w:rsid w:val="3F5F3D9C"/>
    <w:rsid w:val="3FAE2A19"/>
    <w:rsid w:val="40AB66E9"/>
    <w:rsid w:val="41415F2E"/>
    <w:rsid w:val="428E4E6D"/>
    <w:rsid w:val="42C2250D"/>
    <w:rsid w:val="44C935E1"/>
    <w:rsid w:val="46D87D1F"/>
    <w:rsid w:val="4D8971C2"/>
    <w:rsid w:val="4D92310A"/>
    <w:rsid w:val="4EEC05F8"/>
    <w:rsid w:val="4F3E36DF"/>
    <w:rsid w:val="4F6B5525"/>
    <w:rsid w:val="4FE6773D"/>
    <w:rsid w:val="52A80EC4"/>
    <w:rsid w:val="54352A41"/>
    <w:rsid w:val="552C4101"/>
    <w:rsid w:val="57216905"/>
    <w:rsid w:val="57792C45"/>
    <w:rsid w:val="577949F3"/>
    <w:rsid w:val="5814296E"/>
    <w:rsid w:val="5A3C143E"/>
    <w:rsid w:val="5C341831"/>
    <w:rsid w:val="5D1019B9"/>
    <w:rsid w:val="5D3C4BBB"/>
    <w:rsid w:val="602D340B"/>
    <w:rsid w:val="617F501F"/>
    <w:rsid w:val="639C3F43"/>
    <w:rsid w:val="64662CCF"/>
    <w:rsid w:val="65DA0D53"/>
    <w:rsid w:val="66562F35"/>
    <w:rsid w:val="67B359DD"/>
    <w:rsid w:val="67D53EC8"/>
    <w:rsid w:val="6CCD7863"/>
    <w:rsid w:val="6EA97E5C"/>
    <w:rsid w:val="70F829D5"/>
    <w:rsid w:val="71A16BC9"/>
    <w:rsid w:val="721E7082"/>
    <w:rsid w:val="7256750B"/>
    <w:rsid w:val="72E90827"/>
    <w:rsid w:val="74E43558"/>
    <w:rsid w:val="7525182F"/>
    <w:rsid w:val="761D53B8"/>
    <w:rsid w:val="77901BB9"/>
    <w:rsid w:val="77A16C9F"/>
    <w:rsid w:val="78831218"/>
    <w:rsid w:val="79314CD6"/>
    <w:rsid w:val="7A3861A6"/>
    <w:rsid w:val="7C407D8D"/>
    <w:rsid w:val="7EE06F82"/>
    <w:rsid w:val="7F79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autoRedefine/>
    <w:semiHidden/>
    <w:qFormat/>
    <w:uiPriority w:val="0"/>
  </w:style>
  <w:style w:type="table" w:default="1" w:styleId="1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Strong"/>
    <w:basedOn w:val="17"/>
    <w:qFormat/>
    <w:uiPriority w:val="0"/>
    <w:rPr>
      <w:b/>
    </w:rPr>
  </w:style>
  <w:style w:type="paragraph" w:customStyle="1" w:styleId="19">
    <w:name w:val="自定义编号"/>
    <w:basedOn w:val="1"/>
    <w:qFormat/>
    <w:uiPriority w:val="0"/>
    <w:pPr>
      <w:numPr>
        <w:ilvl w:val="1"/>
        <w:numId w:val="1"/>
      </w:numPr>
      <w:spacing w:beforeAutospacing="1" w:afterAutospacing="1"/>
      <w:ind w:left="1440" w:hanging="360"/>
    </w:pPr>
    <w:rPr>
      <w:rFonts w:asciiTheme="minorAscii" w:hAnsiTheme="minorAscii" w:cstheme="minorEastAsia"/>
      <w:kern w:val="0"/>
      <w:sz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chart" Target="charts/chart4.xml"/><Relationship Id="rId7" Type="http://schemas.openxmlformats.org/officeDocument/2006/relationships/chart" Target="charts/chart3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3.xml"/><Relationship Id="rId3" Type="http://schemas.microsoft.com/office/2011/relationships/chartStyle" Target="style3.xml"/><Relationship Id="rId2" Type="http://schemas.openxmlformats.org/officeDocument/2006/relationships/themeOverride" Target="../theme/themeOverride3.xml"/><Relationship Id="rId1" Type="http://schemas.openxmlformats.org/officeDocument/2006/relationships/package" Target="../embeddings/Workbook3.xlsx"/></Relationships>
</file>

<file path=word/charts/_rels/chart2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

<file path=word/charts/_rels/chart3.xml.rels><?xml version="1.0" encoding="UTF-8" standalone="yes"?>
<Relationships xmlns="http://schemas.openxmlformats.org/package/2006/relationships"><Relationship Id="rId4" Type="http://schemas.microsoft.com/office/2011/relationships/chartColorStyle" Target="colors2.xml"/><Relationship Id="rId3" Type="http://schemas.microsoft.com/office/2011/relationships/chartStyle" Target="style2.xml"/><Relationship Id="rId2" Type="http://schemas.openxmlformats.org/officeDocument/2006/relationships/themeOverride" Target="../theme/themeOverride2.xml"/><Relationship Id="rId1" Type="http://schemas.openxmlformats.org/officeDocument/2006/relationships/package" Target="../embeddings/Workbook2.xlsx"/></Relationships>
</file>

<file path=word/charts/_rels/chart4.xml.rels><?xml version="1.0" encoding="UTF-8" standalone="yes"?>
<Relationships xmlns="http://schemas.openxmlformats.org/package/2006/relationships"><Relationship Id="rId4" Type="http://schemas.microsoft.com/office/2011/relationships/chartColorStyle" Target="colors4.xml"/><Relationship Id="rId3" Type="http://schemas.microsoft.com/office/2011/relationships/chartStyle" Target="style4.xml"/><Relationship Id="rId2" Type="http://schemas.openxmlformats.org/officeDocument/2006/relationships/themeOverride" Target="../theme/themeOverride4.xml"/><Relationship Id="rId1" Type="http://schemas.openxmlformats.org/officeDocument/2006/relationships/package" Target="../embeddings/Workbook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占比</c:v>
                </c:pt>
              </c:strCache>
            </c:strRef>
          </c:tx>
          <c:spPr>
            <a:ln w="25400" cap="rnd" cmpd="sng">
              <a:solidFill>
                <a:srgbClr val="4874CB"/>
              </a:solidFill>
              <a:prstDash val="solid"/>
              <a:round/>
            </a:ln>
            <a:effectLst>
              <a:outerShdw blurRad="38100" dist="38100" dir="2700000" algn="tl" rotWithShape="0">
                <a:srgbClr val="4874CB">
                  <a:lumMod val="75000"/>
                  <a:alpha val="40000"/>
                </a:srgbClr>
              </a:outerShdw>
            </a:effectLst>
          </c:spPr>
          <c:marker>
            <c:symbol val="diamond"/>
            <c:size val="9"/>
            <c:spPr>
              <a:solidFill>
                <a:srgbClr val="4874CB">
                  <a:lumMod val="20000"/>
                  <a:lumOff val="80000"/>
                </a:srgbClr>
              </a:solidFill>
              <a:ln w="25400" cap="rnd">
                <a:solidFill>
                  <a:srgbClr val="4874CB"/>
                </a:solidFill>
              </a:ln>
              <a:effectLst>
                <a:outerShdw blurRad="38100" dist="38100" dir="2700000" algn="tl" rotWithShape="0">
                  <a:srgbClr val="4874CB">
                    <a:lumMod val="75000"/>
                    <a:alpha val="40000"/>
                  </a:srgbClr>
                </a:outerShdw>
              </a:effectLst>
            </c:spPr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5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5000元以下</c:v>
                </c:pt>
                <c:pt idx="1">
                  <c:v>5000-8000元</c:v>
                </c:pt>
                <c:pt idx="2">
                  <c:v>8001-12000元</c:v>
                </c:pt>
                <c:pt idx="3">
                  <c:v>12001-18000元</c:v>
                </c:pt>
                <c:pt idx="4">
                  <c:v>18000元以上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0.061</c:v>
                </c:pt>
                <c:pt idx="1">
                  <c:v>0.168</c:v>
                </c:pt>
                <c:pt idx="2">
                  <c:v>0.305</c:v>
                </c:pt>
                <c:pt idx="3">
                  <c:v>0.344</c:v>
                </c:pt>
                <c:pt idx="4">
                  <c:v>0.122</c:v>
                </c:pt>
              </c:numCache>
            </c:numRef>
          </c:val>
          <c:smooth val="1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累计占比</c:v>
                </c:pt>
              </c:strCache>
            </c:strRef>
          </c:tx>
          <c:spPr>
            <a:ln w="25400" cap="rnd" cmpd="sng">
              <a:solidFill>
                <a:srgbClr val="E54C5E"/>
              </a:solidFill>
              <a:prstDash val="solid"/>
              <a:round/>
            </a:ln>
            <a:effectLst>
              <a:outerShdw blurRad="38100" dist="38100" dir="2700000" algn="tl" rotWithShape="0">
                <a:srgbClr val="E54C5E">
                  <a:lumMod val="75000"/>
                  <a:alpha val="40000"/>
                </a:srgbClr>
              </a:outerShdw>
            </a:effectLst>
          </c:spPr>
          <c:marker>
            <c:symbol val="diamond"/>
            <c:size val="9"/>
            <c:spPr>
              <a:solidFill>
                <a:srgbClr val="E54C5E">
                  <a:lumMod val="20000"/>
                  <a:lumOff val="80000"/>
                </a:srgbClr>
              </a:solidFill>
              <a:ln w="25400" cap="rnd">
                <a:solidFill>
                  <a:srgbClr val="E54C5E"/>
                </a:solidFill>
              </a:ln>
              <a:effectLst>
                <a:outerShdw blurRad="38100" dist="38100" dir="2700000" algn="tl" rotWithShape="0">
                  <a:srgbClr val="E54C5E">
                    <a:lumMod val="75000"/>
                    <a:alpha val="40000"/>
                  </a:srgbClr>
                </a:outerShdw>
              </a:effectLst>
            </c:spPr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5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5000元以下</c:v>
                </c:pt>
                <c:pt idx="1">
                  <c:v>5000-8000元</c:v>
                </c:pt>
                <c:pt idx="2">
                  <c:v>8001-12000元</c:v>
                </c:pt>
                <c:pt idx="3">
                  <c:v>12001-18000元</c:v>
                </c:pt>
                <c:pt idx="4">
                  <c:v>18000元以上</c:v>
                </c:pt>
              </c:strCache>
            </c:strRef>
          </c:cat>
          <c:val>
            <c:numRef>
              <c:f>Sheet1!$C$2:$C$6</c:f>
              <c:numCache>
                <c:formatCode>0.00%</c:formatCode>
                <c:ptCount val="5"/>
                <c:pt idx="0">
                  <c:v>0.061</c:v>
                </c:pt>
                <c:pt idx="1">
                  <c:v>0.229</c:v>
                </c:pt>
                <c:pt idx="2">
                  <c:v>0.534</c:v>
                </c:pt>
                <c:pt idx="3">
                  <c:v>0.878</c:v>
                </c:pt>
                <c:pt idx="4" c:formatCode="0%">
                  <c:v>1</c:v>
                </c:pt>
              </c:numCache>
            </c:numRef>
          </c:val>
          <c:smooth val="1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1"/>
        <c:axId val="207125680"/>
        <c:axId val="365289168"/>
      </c:lineChart>
      <c:catAx>
        <c:axId val="2071256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2540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105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65289168"/>
        <c:crosses val="autoZero"/>
        <c:auto val="1"/>
        <c:lblAlgn val="ctr"/>
        <c:lblOffset val="100"/>
        <c:noMultiLvlLbl val="0"/>
      </c:catAx>
      <c:valAx>
        <c:axId val="365289168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105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207125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2341b6d3-b50b-4822-a040-d82ccd8d55fb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1050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占比</c:v>
                </c:pt>
              </c:strCache>
            </c:strRef>
          </c:tx>
          <c:spPr>
            <a:ln w="25400" cap="rnd" cmpd="sng">
              <a:solidFill>
                <a:srgbClr val="E54C5E"/>
              </a:solidFill>
              <a:prstDash val="solid"/>
              <a:round/>
            </a:ln>
            <a:effectLst>
              <a:outerShdw blurRad="38100" dist="38100" dir="2700000" algn="tl" rotWithShape="0">
                <a:srgbClr val="E54C5E">
                  <a:lumMod val="75000"/>
                  <a:alpha val="40000"/>
                </a:srgbClr>
              </a:outerShdw>
            </a:effectLst>
          </c:spPr>
          <c:marker>
            <c:symbol val="diamond"/>
            <c:size val="9"/>
            <c:spPr>
              <a:solidFill>
                <a:srgbClr val="E54C5E">
                  <a:lumMod val="20000"/>
                  <a:lumOff val="80000"/>
                </a:srgbClr>
              </a:solidFill>
              <a:ln w="25400" cap="rnd">
                <a:solidFill>
                  <a:srgbClr val="E54C5E"/>
                </a:solidFill>
              </a:ln>
              <a:effectLst>
                <a:outerShdw blurRad="38100" dist="38100" dir="2700000" algn="tl" rotWithShape="0">
                  <a:srgbClr val="E54C5E">
                    <a:lumMod val="75000"/>
                    <a:alpha val="40000"/>
                  </a:srgbClr>
                </a:outerShdw>
              </a:effectLst>
            </c:spPr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5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基本工资</c:v>
                </c:pt>
                <c:pt idx="1">
                  <c:v>绩效工资</c:v>
                </c:pt>
                <c:pt idx="2">
                  <c:v>奖金</c:v>
                </c:pt>
                <c:pt idx="3">
                  <c:v>福利补贴</c:v>
                </c:pt>
              </c:strCache>
            </c:strRef>
          </c:cat>
          <c:val>
            <c:numRef>
              <c:f>Sheet1!$B$2:$B$5</c:f>
              <c:numCache>
                <c:formatCode>0%</c:formatCode>
                <c:ptCount val="4"/>
                <c:pt idx="0">
                  <c:v>0.5</c:v>
                </c:pt>
                <c:pt idx="1">
                  <c:v>0.3</c:v>
                </c:pt>
                <c:pt idx="2">
                  <c:v>0.15</c:v>
                </c:pt>
                <c:pt idx="3">
                  <c:v>0.05</c:v>
                </c:pt>
              </c:numCache>
            </c:numRef>
          </c:val>
          <c:smooth val="1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1"/>
        <c:axId val="60940751"/>
        <c:axId val="148084689"/>
      </c:lineChart>
      <c:catAx>
        <c:axId val="60940751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2540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105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148084689"/>
        <c:crosses val="autoZero"/>
        <c:auto val="1"/>
        <c:lblAlgn val="ctr"/>
        <c:lblOffset val="100"/>
        <c:noMultiLvlLbl val="0"/>
      </c:catAx>
      <c:valAx>
        <c:axId val="148084689"/>
        <c:scaling>
          <c:orientation val="minMax"/>
        </c:scaling>
        <c:delete val="1"/>
        <c:axPos val="l"/>
        <c:numFmt formatCode="0%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105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609407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cab2a609-3acf-40e6-bdf0-75c9d960315d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1050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薪酬缺口</c:v>
                </c:pt>
              </c:strCache>
            </c:strRef>
          </c:tx>
          <c:spPr>
            <a:ln w="25400" cap="rnd" cmpd="sng">
              <a:solidFill>
                <a:srgbClr val="E54C5E"/>
              </a:solidFill>
              <a:prstDash val="solid"/>
              <a:round/>
            </a:ln>
            <a:effectLst>
              <a:outerShdw blurRad="38100" dist="38100" dir="2700000" algn="tl" rotWithShape="0">
                <a:srgbClr val="E54C5E">
                  <a:lumMod val="75000"/>
                  <a:alpha val="40000"/>
                </a:srgbClr>
              </a:outerShdw>
            </a:effectLst>
          </c:spPr>
          <c:marker>
            <c:symbol val="diamond"/>
            <c:size val="9"/>
            <c:spPr>
              <a:solidFill>
                <a:srgbClr val="E54C5E">
                  <a:lumMod val="20000"/>
                  <a:lumOff val="80000"/>
                </a:srgbClr>
              </a:solidFill>
              <a:ln w="25400" cap="rnd">
                <a:solidFill>
                  <a:srgbClr val="E54C5E"/>
                </a:solidFill>
              </a:ln>
              <a:effectLst>
                <a:outerShdw blurRad="38100" dist="38100" dir="2700000" algn="tl" rotWithShape="0">
                  <a:srgbClr val="E54C5E">
                    <a:lumMod val="75000"/>
                    <a:alpha val="40000"/>
                  </a:srgbClr>
                </a:outerShdw>
              </a:effectLst>
            </c:spPr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5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初级</c:v>
                </c:pt>
                <c:pt idx="1">
                  <c:v>中级</c:v>
                </c:pt>
                <c:pt idx="2">
                  <c:v>高级</c:v>
                </c:pt>
                <c:pt idx="3">
                  <c:v>专家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0.15</c:v>
                </c:pt>
                <c:pt idx="1">
                  <c:v>0.21</c:v>
                </c:pt>
                <c:pt idx="2">
                  <c:v>0.15</c:v>
                </c:pt>
                <c:pt idx="3">
                  <c:v>0.16</c:v>
                </c:pt>
              </c:numCache>
            </c:numRef>
          </c:val>
          <c:smooth val="1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主动离职率</c:v>
                </c:pt>
              </c:strCache>
            </c:strRef>
          </c:tx>
          <c:spPr>
            <a:ln w="25400" cap="rnd" cmpd="sng">
              <a:solidFill>
                <a:srgbClr val="4874CB"/>
              </a:solidFill>
              <a:prstDash val="solid"/>
              <a:round/>
            </a:ln>
            <a:effectLst>
              <a:outerShdw blurRad="38100" dist="38100" dir="2700000" algn="tl" rotWithShape="0">
                <a:srgbClr val="4874CB">
                  <a:lumMod val="75000"/>
                  <a:alpha val="40000"/>
                </a:srgbClr>
              </a:outerShdw>
            </a:effectLst>
          </c:spPr>
          <c:marker>
            <c:symbol val="diamond"/>
            <c:size val="9"/>
            <c:spPr>
              <a:solidFill>
                <a:srgbClr val="4874CB">
                  <a:lumMod val="20000"/>
                  <a:lumOff val="80000"/>
                </a:srgbClr>
              </a:solidFill>
              <a:ln w="25400" cap="rnd">
                <a:solidFill>
                  <a:srgbClr val="4874CB"/>
                </a:solidFill>
              </a:ln>
              <a:effectLst>
                <a:outerShdw blurRad="38100" dist="38100" dir="2700000" algn="tl" rotWithShape="0">
                  <a:srgbClr val="4874CB">
                    <a:lumMod val="75000"/>
                    <a:alpha val="40000"/>
                  </a:srgbClr>
                </a:outerShdw>
              </a:effectLst>
            </c:spPr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5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初级</c:v>
                </c:pt>
                <c:pt idx="1">
                  <c:v>中级</c:v>
                </c:pt>
                <c:pt idx="2">
                  <c:v>高级</c:v>
                </c:pt>
                <c:pt idx="3">
                  <c:v>专家</c:v>
                </c:pt>
              </c:strCache>
            </c:strRef>
          </c:cat>
          <c:val>
            <c:numRef>
              <c:f>Sheet1!$C$2:$C$5</c:f>
              <c:numCache>
                <c:formatCode>0.00%</c:formatCode>
                <c:ptCount val="4"/>
                <c:pt idx="0">
                  <c:v>0.08</c:v>
                </c:pt>
                <c:pt idx="1">
                  <c:v>0.12</c:v>
                </c:pt>
                <c:pt idx="2">
                  <c:v>0.18</c:v>
                </c:pt>
                <c:pt idx="3">
                  <c:v>0.2</c:v>
                </c:pt>
              </c:numCache>
            </c:numRef>
          </c:val>
          <c:smooth val="1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1"/>
        <c:axId val="711606850"/>
        <c:axId val="279433719"/>
      </c:lineChart>
      <c:catAx>
        <c:axId val="71160685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2540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105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279433719"/>
        <c:crosses val="autoZero"/>
        <c:auto val="1"/>
        <c:lblAlgn val="ctr"/>
        <c:lblOffset val="100"/>
        <c:noMultiLvlLbl val="0"/>
      </c:catAx>
      <c:valAx>
        <c:axId val="279433719"/>
        <c:scaling>
          <c:orientation val="minMax"/>
        </c:scaling>
        <c:delete val="1"/>
        <c:axPos val="l"/>
        <c:numFmt formatCode="0.00%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105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1160685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105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105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ayout>
        <c:manualLayout>
          <c:xMode val="edge"/>
          <c:yMode val="edge"/>
          <c:x val="0.219621080139373"/>
          <c:y val="0.648881239242685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105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cbff1a56-35bf-4bc6-9183-9c7997c5f53e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1050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高端人才流失率</c:v>
                </c:pt>
              </c:strCache>
            </c:strRef>
          </c:tx>
          <c:spPr>
            <a:ln w="25400" cap="rnd" cmpd="sng">
              <a:solidFill>
                <a:srgbClr val="4874CB"/>
              </a:solidFill>
              <a:prstDash val="solid"/>
              <a:round/>
            </a:ln>
            <a:effectLst>
              <a:outerShdw blurRad="38100" dist="38100" dir="2700000" algn="tl" rotWithShape="0">
                <a:srgbClr val="4874CB">
                  <a:lumMod val="75000"/>
                  <a:alpha val="40000"/>
                </a:srgbClr>
              </a:outerShdw>
            </a:effectLst>
          </c:spPr>
          <c:marker>
            <c:symbol val="diamond"/>
            <c:size val="9"/>
            <c:spPr>
              <a:solidFill>
                <a:srgbClr val="4874CB">
                  <a:lumMod val="20000"/>
                  <a:lumOff val="80000"/>
                </a:srgbClr>
              </a:solidFill>
              <a:ln w="25400" cap="rnd">
                <a:solidFill>
                  <a:srgbClr val="4874CB"/>
                </a:solidFill>
              </a:ln>
              <a:effectLst>
                <a:outerShdw blurRad="38100" dist="38100" dir="2700000" algn="tl" rotWithShape="0">
                  <a:srgbClr val="4874CB">
                    <a:lumMod val="75000"/>
                    <a:alpha val="40000"/>
                  </a:srgbClr>
                </a:outerShd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基线（2025）</c:v>
                </c:pt>
                <c:pt idx="1">
                  <c:v>12个月目标</c:v>
                </c:pt>
                <c:pt idx="2">
                  <c:v>36个月目标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0.2</c:v>
                </c:pt>
                <c:pt idx="1">
                  <c:v>0.15</c:v>
                </c:pt>
                <c:pt idx="2">
                  <c:v>0.1</c:v>
                </c:pt>
              </c:numCache>
            </c:numRef>
          </c:val>
          <c:smooth val="1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员工薪酬满意度</c:v>
                </c:pt>
              </c:strCache>
            </c:strRef>
          </c:tx>
          <c:spPr>
            <a:ln w="25400" cap="rnd" cmpd="sng">
              <a:solidFill>
                <a:srgbClr val="E54C5E"/>
              </a:solidFill>
              <a:prstDash val="solid"/>
              <a:round/>
            </a:ln>
            <a:effectLst>
              <a:outerShdw blurRad="38100" dist="38100" dir="2700000" algn="tl" rotWithShape="0">
                <a:srgbClr val="E54C5E">
                  <a:lumMod val="75000"/>
                  <a:alpha val="40000"/>
                </a:srgbClr>
              </a:outerShdw>
            </a:effectLst>
          </c:spPr>
          <c:marker>
            <c:symbol val="diamond"/>
            <c:size val="9"/>
            <c:spPr>
              <a:solidFill>
                <a:srgbClr val="E54C5E">
                  <a:lumMod val="20000"/>
                  <a:lumOff val="80000"/>
                  <a:alpha val="72000"/>
                </a:srgbClr>
              </a:solidFill>
              <a:ln w="25400" cap="rnd">
                <a:solidFill>
                  <a:srgbClr val="E54C5E"/>
                </a:solidFill>
              </a:ln>
              <a:effectLst>
                <a:outerShdw blurRad="38100" dist="38100" dir="2700000" algn="tl" rotWithShape="0">
                  <a:srgbClr val="E54C5E">
                    <a:lumMod val="75000"/>
                    <a:alpha val="40000"/>
                  </a:srgbClr>
                </a:outerShd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基线（2025）</c:v>
                </c:pt>
                <c:pt idx="1">
                  <c:v>12个月目标</c:v>
                </c:pt>
                <c:pt idx="2">
                  <c:v>36个月目标</c:v>
                </c:pt>
              </c:strCache>
            </c:strRef>
          </c:cat>
          <c:val>
            <c:numRef>
              <c:f>Sheet1!$C$2:$C$4</c:f>
              <c:numCache>
                <c:formatCode>0%</c:formatCode>
                <c:ptCount val="3"/>
                <c:pt idx="0">
                  <c:v>0.68</c:v>
                </c:pt>
                <c:pt idx="1">
                  <c:v>0.75</c:v>
                </c:pt>
                <c:pt idx="2">
                  <c:v>0.85</c:v>
                </c:pt>
              </c:numCache>
            </c:numRef>
          </c:val>
          <c:smooth val="1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1"/>
        <c:axId val="166487555"/>
        <c:axId val="692024804"/>
      </c:lineChart>
      <c:catAx>
        <c:axId val="16648755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2540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692024804"/>
        <c:crosses val="autoZero"/>
        <c:auto val="1"/>
        <c:lblAlgn val="ctr"/>
        <c:lblOffset val="100"/>
        <c:noMultiLvlLbl val="0"/>
      </c:catAx>
      <c:valAx>
        <c:axId val="692024804"/>
        <c:scaling>
          <c:orientation val="minMax"/>
        </c:scaling>
        <c:delete val="1"/>
        <c:axPos val="l"/>
        <c:numFmt formatCode="0%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1664875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5e89352e-fd1c-4217-a30d-849f4ad64ef5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自定义 11">
    <a:dk1>
      <a:srgbClr val="000000"/>
    </a:dk1>
    <a:lt1>
      <a:srgbClr val="FFFFFF"/>
    </a:lt1>
    <a:dk2>
      <a:srgbClr val="44546A"/>
    </a:dk2>
    <a:lt2>
      <a:srgbClr val="E7E6E6"/>
    </a:lt2>
    <a:accent1>
      <a:srgbClr val="FE7E8C"/>
    </a:accent1>
    <a:accent2>
      <a:srgbClr val="FFCF34"/>
    </a:accent2>
    <a:accent3>
      <a:srgbClr val="85D788"/>
    </a:accent3>
    <a:accent4>
      <a:srgbClr val="B5AEDC"/>
    </a:accent4>
    <a:accent5>
      <a:srgbClr val="80D2ED"/>
    </a:accent5>
    <a:accent6>
      <a:srgbClr val="E3DF75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自定义 11">
    <a:dk1>
      <a:srgbClr val="000000"/>
    </a:dk1>
    <a:lt1>
      <a:srgbClr val="FFFFFF"/>
    </a:lt1>
    <a:dk2>
      <a:srgbClr val="44546A"/>
    </a:dk2>
    <a:lt2>
      <a:srgbClr val="E7E6E6"/>
    </a:lt2>
    <a:accent1>
      <a:srgbClr val="FE7E8C"/>
    </a:accent1>
    <a:accent2>
      <a:srgbClr val="FFCF34"/>
    </a:accent2>
    <a:accent3>
      <a:srgbClr val="85D788"/>
    </a:accent3>
    <a:accent4>
      <a:srgbClr val="B5AEDC"/>
    </a:accent4>
    <a:accent5>
      <a:srgbClr val="80D2ED"/>
    </a:accent5>
    <a:accent6>
      <a:srgbClr val="E3DF75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自定义 11">
    <a:dk1>
      <a:srgbClr val="000000"/>
    </a:dk1>
    <a:lt1>
      <a:srgbClr val="FFFFFF"/>
    </a:lt1>
    <a:dk2>
      <a:srgbClr val="44546A"/>
    </a:dk2>
    <a:lt2>
      <a:srgbClr val="E7E6E6"/>
    </a:lt2>
    <a:accent1>
      <a:srgbClr val="FE7E8C"/>
    </a:accent1>
    <a:accent2>
      <a:srgbClr val="FFCF34"/>
    </a:accent2>
    <a:accent3>
      <a:srgbClr val="85D788"/>
    </a:accent3>
    <a:accent4>
      <a:srgbClr val="B5AEDC"/>
    </a:accent4>
    <a:accent5>
      <a:srgbClr val="80D2ED"/>
    </a:accent5>
    <a:accent6>
      <a:srgbClr val="E3DF75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自定义 11">
    <a:dk1>
      <a:srgbClr val="000000"/>
    </a:dk1>
    <a:lt1>
      <a:srgbClr val="FFFFFF"/>
    </a:lt1>
    <a:dk2>
      <a:srgbClr val="44546A"/>
    </a:dk2>
    <a:lt2>
      <a:srgbClr val="E7E6E6"/>
    </a:lt2>
    <a:accent1>
      <a:srgbClr val="FE7E8C"/>
    </a:accent1>
    <a:accent2>
      <a:srgbClr val="FFCF34"/>
    </a:accent2>
    <a:accent3>
      <a:srgbClr val="85D788"/>
    </a:accent3>
    <a:accent4>
      <a:srgbClr val="B5AEDC"/>
    </a:accent4>
    <a:accent5>
      <a:srgbClr val="80D2ED"/>
    </a:accent5>
    <a:accent6>
      <a:srgbClr val="E3DF75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2670</Words>
  <Characters>3317</Characters>
  <Lines>0</Lines>
  <Paragraphs>0</Paragraphs>
  <TotalTime>24</TotalTime>
  <ScaleCrop>false</ScaleCrop>
  <LinksUpToDate>false</LinksUpToDate>
  <CharactersWithSpaces>3338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2025-05-12T02:27:00Z</dcterms:created>
  <dc:creator>莫菲</dc:creator>
  <cp:lastModifiedBy>莫菲</cp:lastModifiedBy>
  <dcterms:modified xsi:type="dcterms:W3CDTF">2025-05-26T02:32:19Z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6F8F887DCE8B42B68191B043167EFC65_11</vt:lpwstr>
  </property>
  <property fmtid="{D5CDD505-2E9C-101B-9397-08002B2CF9AE}" pid="4" name="KSOTemplateDocerSaveRecord">
    <vt:lpwstr>eyJoZGlkIjoiZmIyYmE5MmZlMTA4MTQ0ZmIwNWI4ZGM5OTJlMzVmNjUiLCJ1c2VySWQiOiI1MzYzNjA2MzAifQ==</vt:lpwstr>
  </property>
</Properties>
</file>