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EQ17_sup</w:t>
        <w:br/>
        <w:t>Grappe: 042203020001</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10</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04-67-27-50</w:t>
            </w:r>
          </w:p>
        </w:tc>
        <w:tc>
          <w:tcPr>
            <w:tcW w:type="dxa" w:w="1994"/>
          </w:tcPr>
          <w:p>
            <w:r>
              <w:rPr>
                <w:sz w:val="14"/>
              </w:rPr>
              <w:t>adb6025267264891b60fc71abadbf685</w:t>
            </w:r>
          </w:p>
        </w:tc>
        <w:tc>
          <w:tcPr>
            <w:tcW w:type="dxa" w:w="1994"/>
          </w:tcPr>
          <w:p>
            <w:r>
              <w:rPr>
                <w:sz w:val="14"/>
              </w:rPr>
              <w:t>042203020001</w:t>
            </w:r>
          </w:p>
        </w:tc>
        <w:tc>
          <w:tcPr>
            <w:tcW w:type="dxa" w:w="1994"/>
          </w:tcPr>
          <w:p>
            <w:r>
              <w:rPr>
                <w:sz w:val="14"/>
              </w:rPr>
              <w:t>7.0</w:t>
            </w:r>
          </w:p>
        </w:tc>
        <w:tc>
          <w:tcPr>
            <w:tcW w:type="dxa" w:w="1994"/>
          </w:tcPr>
          <w:p>
            <w:r>
              <w:rPr>
                <w:sz w:val="14"/>
              </w:rPr>
              <w:t>EQ17_sup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08-55-61-90</w:t>
            </w:r>
          </w:p>
        </w:tc>
        <w:tc>
          <w:tcPr>
            <w:tcW w:type="dxa" w:w="1994"/>
          </w:tcPr>
          <w:p>
            <w:r>
              <w:rPr>
                <w:sz w:val="14"/>
              </w:rPr>
              <w:t>be67d1c37d684d87be0c2c9f6907ddad</w:t>
            </w:r>
          </w:p>
        </w:tc>
        <w:tc>
          <w:tcPr>
            <w:tcW w:type="dxa" w:w="1994"/>
          </w:tcPr>
          <w:p>
            <w:r>
              <w:rPr>
                <w:sz w:val="14"/>
              </w:rPr>
              <w:t>042203020001</w:t>
            </w:r>
          </w:p>
        </w:tc>
        <w:tc>
          <w:tcPr>
            <w:tcW w:type="dxa" w:w="1994"/>
          </w:tcPr>
          <w:p>
            <w:r>
              <w:rPr>
                <w:sz w:val="14"/>
              </w:rPr>
              <w:t>14.0</w:t>
            </w:r>
          </w:p>
        </w:tc>
        <w:tc>
          <w:tcPr>
            <w:tcW w:type="dxa" w:w="1994"/>
          </w:tcPr>
          <w:p>
            <w:r>
              <w:rPr>
                <w:sz w:val="14"/>
              </w:rPr>
              <w:t>EQ17_sup</w:t>
            </w:r>
          </w:p>
        </w:tc>
      </w:tr>
    </w:tbl>
    <w:p/>
    <w:p>
      <w:r>
        <w:rPr>
          <w:b/>
          <w:color w:val="C0504D"/>
          <w:sz w:val="22"/>
        </w:rPr>
        <w:t>&gt;&gt; Issues du programme de rejet</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28-59-10-47</w:t>
            </w:r>
          </w:p>
        </w:tc>
        <w:tc>
          <w:tcPr>
            <w:tcW w:type="dxa" w:w="1994"/>
          </w:tcPr>
          <w:p>
            <w:r>
              <w:rPr>
                <w:sz w:val="14"/>
              </w:rPr>
              <w:t>8ffb07c2e1bd4af4aaf1d1cf38878177</w:t>
            </w:r>
          </w:p>
        </w:tc>
        <w:tc>
          <w:tcPr>
            <w:tcW w:type="dxa" w:w="1994"/>
          </w:tcPr>
          <w:p>
            <w:r>
              <w:rPr>
                <w:sz w:val="14"/>
              </w:rPr>
              <w:t>042203020001</w:t>
            </w:r>
          </w:p>
        </w:tc>
        <w:tc>
          <w:tcPr>
            <w:tcW w:type="dxa" w:w="1994"/>
          </w:tcPr>
          <w:p>
            <w:r>
              <w:rPr>
                <w:sz w:val="14"/>
              </w:rPr>
              <w:t>6.0</w:t>
            </w:r>
          </w:p>
        </w:tc>
        <w:tc>
          <w:tcPr>
            <w:tcW w:type="dxa" w:w="1994"/>
          </w:tcPr>
          <w:p>
            <w:r>
              <w:rPr>
                <w:sz w:val="14"/>
              </w:rPr>
              <w:t>EQ17_sup</w:t>
            </w:r>
          </w:p>
        </w:tc>
      </w:tr>
    </w:tbl>
    <w:p/>
    <w:p>
      <w:r>
        <w:rPr>
          <w:b/>
          <w:color w:val="C0504D"/>
          <w:sz w:val="22"/>
        </w:rPr>
        <w:t>&gt;&gt; Issues du programme de rejet</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41-16-83-33</w:t>
            </w:r>
          </w:p>
        </w:tc>
        <w:tc>
          <w:tcPr>
            <w:tcW w:type="dxa" w:w="1994"/>
          </w:tcPr>
          <w:p>
            <w:r>
              <w:rPr>
                <w:sz w:val="14"/>
              </w:rPr>
              <w:t>a916b9154e514824a4a959c7aa3f0cb3</w:t>
            </w:r>
          </w:p>
        </w:tc>
        <w:tc>
          <w:tcPr>
            <w:tcW w:type="dxa" w:w="1994"/>
          </w:tcPr>
          <w:p>
            <w:r>
              <w:rPr>
                <w:sz w:val="14"/>
              </w:rPr>
              <w:t>042203020001</w:t>
            </w:r>
          </w:p>
        </w:tc>
        <w:tc>
          <w:tcPr>
            <w:tcW w:type="dxa" w:w="1994"/>
          </w:tcPr>
          <w:p>
            <w:r>
              <w:rPr>
                <w:sz w:val="14"/>
              </w:rPr>
              <w:t>9.0</w:t>
            </w:r>
          </w:p>
        </w:tc>
        <w:tc>
          <w:tcPr>
            <w:tcW w:type="dxa" w:w="1994"/>
          </w:tcPr>
          <w:p>
            <w:r>
              <w:rPr>
                <w:sz w:val="14"/>
              </w:rPr>
              <w:t>EQ17_sup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44-07-30-94</w:t>
            </w:r>
          </w:p>
        </w:tc>
        <w:tc>
          <w:tcPr>
            <w:tcW w:type="dxa" w:w="1994"/>
          </w:tcPr>
          <w:p>
            <w:r>
              <w:rPr>
                <w:sz w:val="14"/>
              </w:rPr>
              <w:t>5b289b3162a7404a8ccd9ad10ae289be</w:t>
            </w:r>
          </w:p>
        </w:tc>
        <w:tc>
          <w:tcPr>
            <w:tcW w:type="dxa" w:w="1994"/>
          </w:tcPr>
          <w:p>
            <w:r>
              <w:rPr>
                <w:sz w:val="14"/>
              </w:rPr>
              <w:t>042203020001</w:t>
            </w:r>
          </w:p>
        </w:tc>
        <w:tc>
          <w:tcPr>
            <w:tcW w:type="dxa" w:w="1994"/>
          </w:tcPr>
          <w:p>
            <w:r>
              <w:rPr>
                <w:sz w:val="14"/>
              </w:rPr>
              <w:t>12.0</w:t>
            </w:r>
          </w:p>
        </w:tc>
        <w:tc>
          <w:tcPr>
            <w:tcW w:type="dxa" w:w="1994"/>
          </w:tcPr>
          <w:p>
            <w:r>
              <w:rPr>
                <w:sz w:val="14"/>
              </w:rPr>
              <w:t>EQ17_sup</w:t>
            </w:r>
          </w:p>
        </w:tc>
      </w:tr>
    </w:tbl>
    <w:p/>
    <w:p>
      <w:r>
        <w:rPr>
          <w:b/>
          <w:color w:val="C0504D"/>
          <w:sz w:val="22"/>
        </w:rPr>
        <w:t>&gt;&gt; Issues du programme de rejet</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57-04-23-46</w:t>
            </w:r>
          </w:p>
        </w:tc>
        <w:tc>
          <w:tcPr>
            <w:tcW w:type="dxa" w:w="1994"/>
          </w:tcPr>
          <w:p>
            <w:r>
              <w:rPr>
                <w:sz w:val="14"/>
              </w:rPr>
              <w:t>7ec85228c42f4ebdb4ee4e68eb2b3308</w:t>
            </w:r>
          </w:p>
        </w:tc>
        <w:tc>
          <w:tcPr>
            <w:tcW w:type="dxa" w:w="1994"/>
          </w:tcPr>
          <w:p>
            <w:r>
              <w:rPr>
                <w:sz w:val="14"/>
              </w:rPr>
              <w:t>042203020001</w:t>
            </w:r>
          </w:p>
        </w:tc>
        <w:tc>
          <w:tcPr>
            <w:tcW w:type="dxa" w:w="1994"/>
          </w:tcPr>
          <w:p>
            <w:r>
              <w:rPr>
                <w:sz w:val="14"/>
              </w:rPr>
              <w:t>10.0</w:t>
            </w:r>
          </w:p>
        </w:tc>
        <w:tc>
          <w:tcPr>
            <w:tcW w:type="dxa" w:w="1994"/>
          </w:tcPr>
          <w:p>
            <w:r>
              <w:rPr>
                <w:sz w:val="14"/>
              </w:rPr>
              <w:t>EQ17_sup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61-28-65-24</w:t>
            </w:r>
          </w:p>
        </w:tc>
        <w:tc>
          <w:tcPr>
            <w:tcW w:type="dxa" w:w="1994"/>
          </w:tcPr>
          <w:p>
            <w:r>
              <w:rPr>
                <w:sz w:val="14"/>
              </w:rPr>
              <w:t>04e1053d4dc647d691405864d4e0beb3</w:t>
            </w:r>
          </w:p>
        </w:tc>
        <w:tc>
          <w:tcPr>
            <w:tcW w:type="dxa" w:w="1994"/>
          </w:tcPr>
          <w:p>
            <w:r>
              <w:rPr>
                <w:sz w:val="14"/>
              </w:rPr>
              <w:t>042203020001</w:t>
            </w:r>
          </w:p>
        </w:tc>
        <w:tc>
          <w:tcPr>
            <w:tcW w:type="dxa" w:w="1994"/>
          </w:tcPr>
          <w:p>
            <w:r>
              <w:rPr>
                <w:sz w:val="14"/>
              </w:rPr>
              <w:t>4.0</w:t>
            </w:r>
          </w:p>
        </w:tc>
        <w:tc>
          <w:tcPr>
            <w:tcW w:type="dxa" w:w="1994"/>
          </w:tcPr>
          <w:p>
            <w:r>
              <w:rPr>
                <w:sz w:val="14"/>
              </w:rPr>
              <w:t>EQ17_sup</w:t>
            </w:r>
          </w:p>
        </w:tc>
      </w:tr>
    </w:tbl>
    <w:p/>
    <w:p>
      <w:r>
        <w:rPr>
          <w:b/>
          <w:color w:val="C0504D"/>
          <w:sz w:val="22"/>
        </w:rPr>
        <w:t>&gt;&gt; Issues du programme de rejet</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63-12-46-32</w:t>
            </w:r>
          </w:p>
        </w:tc>
        <w:tc>
          <w:tcPr>
            <w:tcW w:type="dxa" w:w="1994"/>
          </w:tcPr>
          <w:p>
            <w:r>
              <w:rPr>
                <w:sz w:val="14"/>
              </w:rPr>
              <w:t>983401cd99f84634af989dd40dd5893b</w:t>
            </w:r>
          </w:p>
        </w:tc>
        <w:tc>
          <w:tcPr>
            <w:tcW w:type="dxa" w:w="1994"/>
          </w:tcPr>
          <w:p>
            <w:r>
              <w:rPr>
                <w:sz w:val="14"/>
              </w:rPr>
              <w:t>042203020001</w:t>
            </w:r>
          </w:p>
        </w:tc>
        <w:tc>
          <w:tcPr>
            <w:tcW w:type="dxa" w:w="1994"/>
          </w:tcPr>
          <w:p>
            <w:r>
              <w:rPr>
                <w:sz w:val="14"/>
              </w:rPr>
              <w:t>15.0</w:t>
            </w:r>
          </w:p>
        </w:tc>
        <w:tc>
          <w:tcPr>
            <w:tcW w:type="dxa" w:w="1994"/>
          </w:tcPr>
          <w:p>
            <w:r>
              <w:rPr>
                <w:sz w:val="14"/>
              </w:rPr>
              <w:t>EQ17_sup</w:t>
            </w:r>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67-16-43-02</w:t>
            </w:r>
          </w:p>
        </w:tc>
        <w:tc>
          <w:tcPr>
            <w:tcW w:type="dxa" w:w="1994"/>
          </w:tcPr>
          <w:p>
            <w:r>
              <w:rPr>
                <w:sz w:val="14"/>
              </w:rPr>
              <w:t>5d340ab22f6145769707a552af054ea4</w:t>
            </w:r>
          </w:p>
        </w:tc>
        <w:tc>
          <w:tcPr>
            <w:tcW w:type="dxa" w:w="1994"/>
          </w:tcPr>
          <w:p>
            <w:r>
              <w:rPr>
                <w:sz w:val="14"/>
              </w:rPr>
              <w:t>042203020001</w:t>
            </w:r>
          </w:p>
        </w:tc>
        <w:tc>
          <w:tcPr>
            <w:tcW w:type="dxa" w:w="1994"/>
          </w:tcPr>
          <w:p>
            <w:r>
              <w:rPr>
                <w:sz w:val="14"/>
              </w:rPr>
              <w:t>3.0</w:t>
            </w:r>
          </w:p>
        </w:tc>
        <w:tc>
          <w:tcPr>
            <w:tcW w:type="dxa" w:w="1994"/>
          </w:tcPr>
          <w:p>
            <w:r>
              <w:rPr>
                <w:sz w:val="14"/>
              </w:rPr>
              <w:t>EQ17_sup</w:t>
            </w:r>
          </w:p>
        </w:tc>
      </w:tr>
    </w:tbl>
    <w:p/>
    <w:p>
      <w:r>
        <w:rPr>
          <w:b/>
          <w:color w:val="C0504D"/>
          <w:sz w:val="22"/>
        </w:rPr>
        <w:t>&gt;&gt; Issues du programme de rejet</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Incohérence. Pour une femme, l'âge du premier mariage devrait être supérieur à 12 ans. Veuillez vérifier.</w:t>
      </w:r>
    </w:p>
    <w:p>
      <w:pPr>
        <w:ind w:left="283"/>
      </w:pPr>
      <w:r>
        <w:rPr>
          <w:sz w:val="20"/>
        </w:rPr>
        <w:t>- Incohérence. Pour une femme, l'âge du premier mariage devrait être supérieur à 12 ans. Veuillez vérifier.</w:t>
      </w:r>
    </w:p>
    <w:p>
      <w:pPr>
        <w:ind w:left="283"/>
      </w:pPr>
      <w:r>
        <w:rPr>
          <w:sz w:val="20"/>
        </w:rPr>
        <w:t>- Incohérence. Pour une femme, l'âge du premier mariage devrait être supérieur à 12 ans. Veuillez vérifier.</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96-21-28-10</w:t>
            </w:r>
          </w:p>
        </w:tc>
        <w:tc>
          <w:tcPr>
            <w:tcW w:type="dxa" w:w="1994"/>
          </w:tcPr>
          <w:p>
            <w:r>
              <w:rPr>
                <w:sz w:val="14"/>
              </w:rPr>
              <w:t>904fa7f8e98e4dff91c20d042fccb9fb</w:t>
            </w:r>
          </w:p>
        </w:tc>
        <w:tc>
          <w:tcPr>
            <w:tcW w:type="dxa" w:w="1994"/>
          </w:tcPr>
          <w:p>
            <w:r>
              <w:rPr>
                <w:sz w:val="14"/>
              </w:rPr>
              <w:t>042203020001</w:t>
            </w:r>
          </w:p>
        </w:tc>
        <w:tc>
          <w:tcPr>
            <w:tcW w:type="dxa" w:w="1994"/>
          </w:tcPr>
          <w:p>
            <w:r>
              <w:rPr>
                <w:sz w:val="14"/>
              </w:rPr>
              <w:t>5.0</w:t>
            </w:r>
          </w:p>
        </w:tc>
        <w:tc>
          <w:tcPr>
            <w:tcW w:type="dxa" w:w="1994"/>
          </w:tcPr>
          <w:p>
            <w:r>
              <w:rPr>
                <w:sz w:val="14"/>
              </w:rPr>
              <w:t>EQ17_sup</w:t>
            </w:r>
          </w:p>
        </w:tc>
      </w:tr>
    </w:tbl>
    <w:p/>
    <w:p>
      <w:r>
        <w:rPr>
          <w:b/>
          <w:color w:val="C0504D"/>
          <w:sz w:val="22"/>
        </w:rPr>
        <w:t>&gt;&gt; Issues du programme de rejet</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