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Section12</w:t>
            </w:r>
          </w:p>
        </w:tc>
        <w:tc>
          <w:tcPr>
            <w:tcW w:type="dxa" w:w="3324"/>
          </w:tcPr>
          <w:p>
            <w:r>
              <w:t>Actifs du menage</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Section4c</w:t>
            </w:r>
          </w:p>
        </w:tc>
        <w:tc>
          <w:tcPr>
            <w:tcW w:type="dxa" w:w="3324"/>
          </w:tcPr>
          <w:p>
            <w:r>
              <w:t>Emploi - Activite secondaire</w:t>
            </w:r>
          </w:p>
        </w:tc>
        <w:tc>
          <w:tcPr>
            <w:tcW w:type="dxa" w:w="3324"/>
          </w:tcPr>
          <w:p>
            <w:r>
              <w:t>1</w:t>
            </w:r>
          </w:p>
        </w:tc>
      </w:tr>
    </w:tbl>
    <w:p/>
    <w:p>
      <w:pPr>
        <w:pStyle w:val="Heading1"/>
      </w:pPr>
      <w:r>
        <w:t>Details des erreurs par menage</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w:t>
        <w:br/>
        <w:t xml:space="preserve">- Le montant des frais pour les cahiers et autres matériels scolaires pour l'année scolaire de Abdourahmane Diallo est faible ou élevé, veuillez, s'il vous plait, confirmer ces informations avec le QG ou apporter les corrections nécessaires. </w:t>
        <w:br/>
        <w:t>- Le montant des frais pour les cahiers et autres matériels scolaires pour l'année scolaire de Hamdou Rabbi Diallo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Tapis a été achété à 25000 Fcfa est relativement élevé par rapport aux autres prix d'achat observés dans cette zone. Prière de corriger ou de confirmer avec le QG. </w:t>
        <w:br/>
        <w:t>- Attention ! Téléphone portable a été achété à 185000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